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F0E" w:rsidRPr="00521B79" w:rsidRDefault="001F5ECF" w:rsidP="00EE40DB">
      <w:pPr>
        <w:pStyle w:val="CRCoverPage"/>
        <w:tabs>
          <w:tab w:val="right" w:pos="9360"/>
        </w:tabs>
        <w:spacing w:after="0"/>
        <w:rPr>
          <w:rFonts w:eastAsia="SimSun"/>
          <w:b/>
          <w:iCs/>
          <w:noProof/>
          <w:sz w:val="24"/>
          <w:szCs w:val="24"/>
          <w:lang w:eastAsia="zh-CN"/>
        </w:rPr>
      </w:pPr>
      <w:r>
        <w:rPr>
          <w:rFonts w:cs="Arial"/>
          <w:b/>
          <w:sz w:val="24"/>
          <w:szCs w:val="24"/>
          <w:lang w:val="en-US"/>
        </w:rPr>
        <w:t>3GPP TSG-RAN WG2</w:t>
      </w:r>
      <w:r w:rsidR="001B10E2">
        <w:rPr>
          <w:rFonts w:cs="Arial"/>
          <w:b/>
          <w:sz w:val="24"/>
          <w:szCs w:val="24"/>
          <w:lang w:val="en-US"/>
        </w:rPr>
        <w:t xml:space="preserve"> </w:t>
      </w:r>
      <w:r w:rsidR="00256F0E" w:rsidRPr="00521B79">
        <w:rPr>
          <w:rFonts w:cs="Arial"/>
          <w:b/>
          <w:sz w:val="24"/>
          <w:szCs w:val="24"/>
          <w:lang w:val="en-US"/>
        </w:rPr>
        <w:t xml:space="preserve">Meeting </w:t>
      </w:r>
      <w:r>
        <w:rPr>
          <w:rFonts w:cs="Arial"/>
          <w:b/>
          <w:sz w:val="24"/>
          <w:szCs w:val="24"/>
          <w:lang w:val="en-US"/>
        </w:rPr>
        <w:t>#</w:t>
      </w:r>
      <w:r w:rsidR="00153E1B">
        <w:rPr>
          <w:rFonts w:cs="Arial"/>
          <w:b/>
          <w:sz w:val="24"/>
          <w:szCs w:val="24"/>
          <w:lang w:val="en-US"/>
        </w:rPr>
        <w:t>73</w:t>
      </w:r>
      <w:r w:rsidR="00EE40DB">
        <w:rPr>
          <w:rFonts w:eastAsia="SimSun" w:hint="eastAsia"/>
          <w:b/>
          <w:i/>
          <w:noProof/>
          <w:sz w:val="24"/>
          <w:szCs w:val="24"/>
          <w:lang w:eastAsia="zh-CN"/>
        </w:rPr>
        <w:tab/>
      </w:r>
      <w:r w:rsidR="00153E1B">
        <w:rPr>
          <w:b/>
          <w:iCs/>
          <w:noProof/>
          <w:sz w:val="24"/>
          <w:szCs w:val="24"/>
        </w:rPr>
        <w:t>R2-111284</w:t>
      </w:r>
    </w:p>
    <w:p w:rsidR="00256F0E" w:rsidRDefault="00D25696" w:rsidP="00256F0E">
      <w:pPr>
        <w:pStyle w:val="CRCoverPage"/>
        <w:spacing w:after="240"/>
        <w:rPr>
          <w:rFonts w:eastAsia="SimSun"/>
          <w:b/>
          <w:noProof/>
          <w:sz w:val="24"/>
          <w:szCs w:val="24"/>
          <w:lang w:eastAsia="zh-CN"/>
        </w:rPr>
      </w:pPr>
      <w:r>
        <w:rPr>
          <w:rFonts w:eastAsia="SimSun"/>
          <w:b/>
          <w:noProof/>
          <w:sz w:val="24"/>
          <w:szCs w:val="24"/>
          <w:lang w:eastAsia="zh-CN"/>
        </w:rPr>
        <w:t>Taipei</w:t>
      </w:r>
      <w:r w:rsidR="00F3367F">
        <w:rPr>
          <w:rFonts w:eastAsia="SimSun"/>
          <w:b/>
          <w:noProof/>
          <w:sz w:val="24"/>
          <w:szCs w:val="24"/>
          <w:lang w:eastAsia="zh-CN"/>
        </w:rPr>
        <w:t xml:space="preserve">, </w:t>
      </w:r>
      <w:r>
        <w:rPr>
          <w:rFonts w:eastAsia="SimSun"/>
          <w:b/>
          <w:noProof/>
          <w:sz w:val="24"/>
          <w:szCs w:val="24"/>
          <w:lang w:eastAsia="zh-CN"/>
        </w:rPr>
        <w:t>TAIWAN</w:t>
      </w:r>
      <w:r w:rsidR="00256F0E">
        <w:rPr>
          <w:rFonts w:eastAsia="SimSun"/>
          <w:b/>
          <w:noProof/>
          <w:sz w:val="24"/>
          <w:szCs w:val="24"/>
          <w:lang w:eastAsia="zh-CN"/>
        </w:rPr>
        <w:t xml:space="preserve">, </w:t>
      </w:r>
      <w:r w:rsidR="00153E1B">
        <w:rPr>
          <w:rFonts w:eastAsia="SimSun"/>
          <w:b/>
          <w:noProof/>
          <w:sz w:val="24"/>
          <w:szCs w:val="24"/>
          <w:lang w:eastAsia="zh-CN"/>
        </w:rPr>
        <w:t>21</w:t>
      </w:r>
      <w:r w:rsidR="00F3367F">
        <w:rPr>
          <w:rFonts w:eastAsia="SimSun"/>
          <w:b/>
          <w:noProof/>
          <w:sz w:val="24"/>
          <w:szCs w:val="24"/>
          <w:lang w:eastAsia="zh-CN"/>
        </w:rPr>
        <w:t xml:space="preserve"> </w:t>
      </w:r>
      <w:r>
        <w:rPr>
          <w:rFonts w:eastAsia="SimSun"/>
          <w:b/>
          <w:noProof/>
          <w:sz w:val="24"/>
          <w:szCs w:val="24"/>
          <w:lang w:eastAsia="zh-CN"/>
        </w:rPr>
        <w:t>February</w:t>
      </w:r>
      <w:r w:rsidR="00F3367F">
        <w:rPr>
          <w:rFonts w:eastAsia="SimSun"/>
          <w:b/>
          <w:noProof/>
          <w:sz w:val="24"/>
          <w:szCs w:val="24"/>
          <w:lang w:eastAsia="zh-CN"/>
        </w:rPr>
        <w:t xml:space="preserve"> –</w:t>
      </w:r>
      <w:r w:rsidR="004F55F6">
        <w:rPr>
          <w:rFonts w:eastAsia="SimSun"/>
          <w:b/>
          <w:noProof/>
          <w:sz w:val="24"/>
          <w:szCs w:val="24"/>
          <w:lang w:eastAsia="zh-CN"/>
        </w:rPr>
        <w:t xml:space="preserve"> </w:t>
      </w:r>
      <w:r w:rsidR="00153E1B">
        <w:rPr>
          <w:rFonts w:eastAsia="SimSun"/>
          <w:b/>
          <w:noProof/>
          <w:sz w:val="24"/>
          <w:szCs w:val="24"/>
          <w:lang w:eastAsia="zh-CN"/>
        </w:rPr>
        <w:t>26</w:t>
      </w:r>
      <w:r w:rsidR="00F3367F">
        <w:rPr>
          <w:rFonts w:eastAsia="SimSun"/>
          <w:b/>
          <w:noProof/>
          <w:sz w:val="24"/>
          <w:szCs w:val="24"/>
          <w:lang w:eastAsia="zh-CN"/>
        </w:rPr>
        <w:t xml:space="preserve"> </w:t>
      </w:r>
      <w:r>
        <w:rPr>
          <w:rFonts w:eastAsia="SimSun"/>
          <w:b/>
          <w:noProof/>
          <w:sz w:val="24"/>
          <w:szCs w:val="24"/>
          <w:lang w:eastAsia="zh-CN"/>
        </w:rPr>
        <w:t>February</w:t>
      </w:r>
      <w:r w:rsidR="00256F0E">
        <w:rPr>
          <w:rFonts w:eastAsia="SimSun"/>
          <w:b/>
          <w:noProof/>
          <w:sz w:val="24"/>
          <w:szCs w:val="24"/>
          <w:lang w:eastAsia="zh-CN"/>
        </w:rPr>
        <w:t>, 201</w:t>
      </w:r>
      <w:r w:rsidR="00F3367F">
        <w:rPr>
          <w:rFonts w:eastAsia="SimSun"/>
          <w:b/>
          <w:noProof/>
          <w:sz w:val="24"/>
          <w:szCs w:val="24"/>
          <w:lang w:eastAsia="zh-CN"/>
        </w:rPr>
        <w:t>1</w:t>
      </w:r>
    </w:p>
    <w:p w:rsidR="00F3367F" w:rsidRDefault="00521B79" w:rsidP="00521B79">
      <w:pPr>
        <w:tabs>
          <w:tab w:val="left" w:pos="1985"/>
        </w:tabs>
        <w:ind w:left="1980" w:hanging="1980"/>
        <w:jc w:val="both"/>
        <w:rPr>
          <w:rFonts w:ascii="Arial" w:eastAsia="SimSun" w:hAnsi="Arial" w:cs="Arial"/>
          <w:sz w:val="24"/>
          <w:szCs w:val="24"/>
          <w:lang w:val="fr-FR" w:eastAsia="zh-CN"/>
        </w:rPr>
      </w:pPr>
      <w:r w:rsidRPr="00CC3F1A">
        <w:rPr>
          <w:rFonts w:ascii="Arial" w:hAnsi="Arial" w:cs="Arial"/>
          <w:b/>
          <w:sz w:val="24"/>
          <w:szCs w:val="24"/>
          <w:lang w:val="fr-FR"/>
        </w:rPr>
        <w:t>Agenda item:</w:t>
      </w:r>
      <w:r w:rsidR="00FA3679" w:rsidRPr="00CC3F1A">
        <w:rPr>
          <w:rFonts w:ascii="Arial" w:eastAsia="SimSun" w:hAnsi="Arial" w:cs="Arial" w:hint="eastAsia"/>
          <w:sz w:val="24"/>
          <w:szCs w:val="24"/>
          <w:lang w:val="fr-FR" w:eastAsia="zh-CN"/>
        </w:rPr>
        <w:tab/>
      </w:r>
      <w:r w:rsidR="00153E1B">
        <w:rPr>
          <w:rFonts w:ascii="Arial" w:eastAsia="SimSun" w:hAnsi="Arial" w:cs="Arial"/>
          <w:sz w:val="24"/>
          <w:szCs w:val="24"/>
          <w:lang w:val="fr-FR" w:eastAsia="zh-CN"/>
        </w:rPr>
        <w:t>7.8.2</w:t>
      </w:r>
    </w:p>
    <w:p w:rsidR="00521B79" w:rsidRPr="004F4BD9" w:rsidRDefault="00521B79" w:rsidP="00521B79">
      <w:pPr>
        <w:tabs>
          <w:tab w:val="left" w:pos="1985"/>
        </w:tabs>
        <w:ind w:left="1980" w:hanging="1980"/>
        <w:jc w:val="both"/>
        <w:rPr>
          <w:rFonts w:ascii="Arial" w:eastAsia="SimSun" w:hAnsi="Arial" w:cs="Arial"/>
          <w:b/>
          <w:sz w:val="24"/>
          <w:szCs w:val="24"/>
          <w:lang w:val="fr-FR" w:eastAsia="zh-CN"/>
        </w:rPr>
      </w:pPr>
      <w:r w:rsidRPr="00CC3F1A">
        <w:rPr>
          <w:rFonts w:ascii="Arial" w:hAnsi="Arial" w:cs="Arial"/>
          <w:b/>
          <w:sz w:val="24"/>
          <w:szCs w:val="24"/>
          <w:lang w:val="fr-FR"/>
        </w:rPr>
        <w:t xml:space="preserve">Source: </w:t>
      </w:r>
      <w:r w:rsidRPr="00CC3F1A">
        <w:rPr>
          <w:rFonts w:ascii="Arial" w:hAnsi="Arial" w:cs="Arial"/>
          <w:b/>
          <w:sz w:val="24"/>
          <w:szCs w:val="24"/>
          <w:lang w:val="fr-FR"/>
        </w:rPr>
        <w:tab/>
      </w:r>
      <w:r w:rsidR="004F4BD9">
        <w:rPr>
          <w:rFonts w:ascii="Arial" w:eastAsia="SimSun" w:hAnsi="Arial" w:cs="Arial" w:hint="eastAsia"/>
          <w:sz w:val="24"/>
          <w:szCs w:val="24"/>
          <w:lang w:val="fr-FR" w:eastAsia="zh-CN"/>
        </w:rPr>
        <w:t>Qualcomm</w:t>
      </w:r>
      <w:r w:rsidR="00C669A1">
        <w:rPr>
          <w:rFonts w:ascii="Arial" w:eastAsia="SimSun" w:hAnsi="Arial" w:cs="Arial"/>
          <w:sz w:val="24"/>
          <w:szCs w:val="24"/>
          <w:lang w:val="fr-FR" w:eastAsia="zh-CN"/>
        </w:rPr>
        <w:t xml:space="preserve"> Incorporated</w:t>
      </w:r>
    </w:p>
    <w:p w:rsidR="00215BA5" w:rsidRDefault="00521B79" w:rsidP="00521B79">
      <w:pPr>
        <w:ind w:left="1985" w:hanging="1985"/>
        <w:rPr>
          <w:rFonts w:ascii="Arial" w:eastAsia="SimSun" w:hAnsi="Arial" w:cs="Arial"/>
          <w:sz w:val="24"/>
          <w:szCs w:val="24"/>
          <w:lang w:val="en-US" w:eastAsia="zh-CN"/>
        </w:rPr>
      </w:pPr>
      <w:r w:rsidRPr="00521B79">
        <w:rPr>
          <w:rFonts w:ascii="Arial" w:hAnsi="Arial" w:cs="Arial"/>
          <w:b/>
          <w:sz w:val="24"/>
          <w:szCs w:val="24"/>
          <w:lang w:val="en-US"/>
        </w:rPr>
        <w:t>Title:</w:t>
      </w:r>
      <w:r w:rsidRPr="00521B79">
        <w:rPr>
          <w:rFonts w:ascii="Arial" w:hAnsi="Arial" w:cs="Arial"/>
          <w:sz w:val="24"/>
          <w:szCs w:val="24"/>
          <w:lang w:val="en-US"/>
        </w:rPr>
        <w:t xml:space="preserve"> </w:t>
      </w:r>
      <w:r w:rsidRPr="00521B79">
        <w:rPr>
          <w:rFonts w:ascii="Arial" w:hAnsi="Arial" w:cs="Arial"/>
          <w:sz w:val="24"/>
          <w:szCs w:val="24"/>
          <w:lang w:val="en-US"/>
        </w:rPr>
        <w:tab/>
      </w:r>
      <w:r w:rsidR="00153E1B" w:rsidRPr="00153E1B">
        <w:rPr>
          <w:rFonts w:ascii="Arial" w:eastAsia="SimSun" w:hAnsi="Arial" w:cs="Arial"/>
          <w:sz w:val="24"/>
          <w:szCs w:val="24"/>
          <w:lang w:val="en-US" w:eastAsia="zh-CN"/>
        </w:rPr>
        <w:t>Autonomous gap patterns for BT conversational voice</w:t>
      </w:r>
      <w:r w:rsidR="00C669A1" w:rsidRPr="00C669A1">
        <w:rPr>
          <w:rFonts w:ascii="Arial" w:eastAsia="SimSun" w:hAnsi="Arial" w:cs="Arial"/>
          <w:sz w:val="24"/>
          <w:szCs w:val="24"/>
          <w:lang w:val="en-US" w:eastAsia="zh-CN"/>
        </w:rPr>
        <w:t xml:space="preserve"> </w:t>
      </w:r>
    </w:p>
    <w:p w:rsidR="009827FE" w:rsidRDefault="00521B79" w:rsidP="00FA3679">
      <w:pPr>
        <w:tabs>
          <w:tab w:val="left" w:pos="1985"/>
        </w:tabs>
        <w:ind w:left="1980" w:hanging="1980"/>
        <w:jc w:val="both"/>
        <w:rPr>
          <w:rFonts w:ascii="Arial" w:eastAsia="SimSun" w:hAnsi="Arial" w:cs="Arial"/>
          <w:sz w:val="24"/>
          <w:szCs w:val="24"/>
          <w:lang w:val="en-US" w:eastAsia="zh-CN"/>
        </w:rPr>
      </w:pPr>
      <w:r w:rsidRPr="00521B79">
        <w:rPr>
          <w:rFonts w:ascii="Arial" w:hAnsi="Arial" w:cs="Arial"/>
          <w:b/>
          <w:sz w:val="24"/>
          <w:szCs w:val="24"/>
          <w:lang w:val="en-US"/>
        </w:rPr>
        <w:t>Document for:</w:t>
      </w:r>
      <w:r w:rsidRPr="00521B79">
        <w:rPr>
          <w:rFonts w:ascii="Arial" w:hAnsi="Arial" w:cs="Arial"/>
          <w:sz w:val="24"/>
          <w:szCs w:val="24"/>
          <w:lang w:val="en-US"/>
        </w:rPr>
        <w:tab/>
      </w:r>
      <w:bookmarkStart w:id="0" w:name="DocumentFor"/>
      <w:bookmarkEnd w:id="0"/>
      <w:r w:rsidR="00FA3679">
        <w:rPr>
          <w:rFonts w:ascii="Arial" w:eastAsia="SimSun" w:hAnsi="Arial" w:cs="Arial" w:hint="eastAsia"/>
          <w:sz w:val="24"/>
          <w:szCs w:val="24"/>
          <w:lang w:val="en-US" w:eastAsia="zh-CN"/>
        </w:rPr>
        <w:t>Discussion</w:t>
      </w:r>
      <w:r w:rsidR="00C669A1">
        <w:rPr>
          <w:rFonts w:ascii="Arial" w:eastAsia="SimSun" w:hAnsi="Arial" w:cs="Arial"/>
          <w:sz w:val="24"/>
          <w:szCs w:val="24"/>
          <w:lang w:val="en-US" w:eastAsia="zh-CN"/>
        </w:rPr>
        <w:t xml:space="preserve"> and Decision</w:t>
      </w:r>
    </w:p>
    <w:p w:rsidR="009827FE" w:rsidRPr="00043030" w:rsidRDefault="009827FE" w:rsidP="005D1097">
      <w:pPr>
        <w:pStyle w:val="Heading1"/>
      </w:pPr>
      <w:r w:rsidRPr="00043030">
        <w:t>Introduction</w:t>
      </w:r>
    </w:p>
    <w:p w:rsidR="005E12DA" w:rsidRDefault="00F728D3" w:rsidP="005F2666">
      <w:pPr>
        <w:rPr>
          <w:rFonts w:eastAsia="SimSun"/>
          <w:sz w:val="21"/>
          <w:szCs w:val="21"/>
          <w:lang w:val="en-US" w:eastAsia="zh-CN"/>
        </w:rPr>
      </w:pPr>
      <w:bookmarkStart w:id="1" w:name="OLE_LINK2"/>
      <w:bookmarkStart w:id="2" w:name="OLE_LINK3"/>
      <w:r>
        <w:rPr>
          <w:rFonts w:eastAsia="SimSun"/>
          <w:sz w:val="21"/>
          <w:szCs w:val="21"/>
          <w:lang w:val="en-US" w:eastAsia="zh-CN"/>
        </w:rPr>
        <w:t xml:space="preserve">LTE and </w:t>
      </w:r>
      <w:r w:rsidR="005F2666">
        <w:rPr>
          <w:rFonts w:eastAsia="SimSun"/>
          <w:sz w:val="21"/>
          <w:szCs w:val="21"/>
          <w:lang w:val="en-US" w:eastAsia="zh-CN"/>
        </w:rPr>
        <w:t xml:space="preserve">BT earphone </w:t>
      </w:r>
      <w:r>
        <w:rPr>
          <w:rFonts w:eastAsia="SimSun"/>
          <w:sz w:val="21"/>
          <w:szCs w:val="21"/>
          <w:lang w:val="en-US" w:eastAsia="zh-CN"/>
        </w:rPr>
        <w:t xml:space="preserve">has been </w:t>
      </w:r>
      <w:r w:rsidR="005F2666">
        <w:rPr>
          <w:rFonts w:eastAsia="SimSun"/>
          <w:sz w:val="21"/>
          <w:szCs w:val="21"/>
          <w:lang w:val="en-US" w:eastAsia="zh-CN"/>
        </w:rPr>
        <w:t xml:space="preserve">identified </w:t>
      </w:r>
      <w:r w:rsidR="00B50B9A">
        <w:rPr>
          <w:rFonts w:eastAsia="SimSun"/>
          <w:sz w:val="21"/>
          <w:szCs w:val="21"/>
          <w:lang w:val="en-US" w:eastAsia="zh-CN"/>
        </w:rPr>
        <w:t xml:space="preserve">in [1] </w:t>
      </w:r>
      <w:r w:rsidR="005F2666">
        <w:rPr>
          <w:rFonts w:eastAsia="SimSun"/>
          <w:sz w:val="21"/>
          <w:szCs w:val="21"/>
          <w:lang w:val="en-US" w:eastAsia="zh-CN"/>
        </w:rPr>
        <w:t xml:space="preserve">as an important </w:t>
      </w:r>
      <w:r>
        <w:rPr>
          <w:rFonts w:eastAsia="SimSun"/>
          <w:sz w:val="21"/>
          <w:szCs w:val="21"/>
          <w:lang w:val="en-US" w:eastAsia="zh-CN"/>
        </w:rPr>
        <w:t xml:space="preserve">coexistence </w:t>
      </w:r>
      <w:r w:rsidR="005F2666">
        <w:rPr>
          <w:rFonts w:eastAsia="SimSun"/>
          <w:sz w:val="21"/>
          <w:szCs w:val="21"/>
          <w:lang w:val="en-US" w:eastAsia="zh-CN"/>
        </w:rPr>
        <w:t xml:space="preserve">use case. For </w:t>
      </w:r>
      <w:r>
        <w:rPr>
          <w:rFonts w:eastAsia="SimSun"/>
          <w:sz w:val="21"/>
          <w:szCs w:val="21"/>
          <w:lang w:val="en-US" w:eastAsia="zh-CN"/>
        </w:rPr>
        <w:t>voice, BT use</w:t>
      </w:r>
      <w:r w:rsidR="002731A9">
        <w:rPr>
          <w:rFonts w:eastAsia="SimSun"/>
          <w:sz w:val="21"/>
          <w:szCs w:val="21"/>
          <w:lang w:val="en-US" w:eastAsia="zh-CN"/>
        </w:rPr>
        <w:t>s</w:t>
      </w:r>
      <w:r>
        <w:rPr>
          <w:rFonts w:eastAsia="SimSun"/>
          <w:sz w:val="21"/>
          <w:szCs w:val="21"/>
          <w:lang w:val="en-US" w:eastAsia="zh-CN"/>
        </w:rPr>
        <w:t xml:space="preserve"> </w:t>
      </w:r>
      <w:r w:rsidR="005F2666">
        <w:rPr>
          <w:rFonts w:eastAsia="SimSun"/>
          <w:sz w:val="21"/>
          <w:szCs w:val="21"/>
          <w:lang w:val="en-US" w:eastAsia="zh-CN"/>
        </w:rPr>
        <w:t xml:space="preserve">the enhanced synchronous </w:t>
      </w:r>
      <w:r w:rsidR="002023C0">
        <w:rPr>
          <w:rFonts w:eastAsia="SimSun"/>
          <w:sz w:val="21"/>
          <w:szCs w:val="21"/>
          <w:lang w:val="en-US" w:eastAsia="zh-CN"/>
        </w:rPr>
        <w:t>connection oriented (eSCO)</w:t>
      </w:r>
      <w:r w:rsidR="002731A9">
        <w:rPr>
          <w:rFonts w:eastAsia="SimSun"/>
          <w:sz w:val="21"/>
          <w:szCs w:val="21"/>
          <w:lang w:val="en-US" w:eastAsia="zh-CN"/>
        </w:rPr>
        <w:t xml:space="preserve"> mode</w:t>
      </w:r>
      <w:r w:rsidR="002023C0">
        <w:rPr>
          <w:rFonts w:eastAsia="SimSun"/>
          <w:sz w:val="21"/>
          <w:szCs w:val="21"/>
          <w:lang w:val="en-US" w:eastAsia="zh-CN"/>
        </w:rPr>
        <w:t xml:space="preserve">. </w:t>
      </w:r>
      <w:r w:rsidR="0097378D">
        <w:rPr>
          <w:rFonts w:eastAsia="SimSun"/>
          <w:sz w:val="21"/>
          <w:szCs w:val="21"/>
          <w:lang w:val="en-US" w:eastAsia="zh-CN"/>
        </w:rPr>
        <w:t>In [2], w</w:t>
      </w:r>
      <w:r w:rsidR="00972C3B">
        <w:rPr>
          <w:rFonts w:eastAsia="SimSun"/>
          <w:sz w:val="21"/>
          <w:szCs w:val="21"/>
          <w:lang w:val="en-US" w:eastAsia="zh-CN"/>
        </w:rPr>
        <w:t xml:space="preserve">e </w:t>
      </w:r>
      <w:r w:rsidR="0097378D">
        <w:rPr>
          <w:rFonts w:eastAsia="SimSun"/>
          <w:sz w:val="21"/>
          <w:szCs w:val="21"/>
          <w:lang w:val="en-US" w:eastAsia="zh-CN"/>
        </w:rPr>
        <w:t>explained</w:t>
      </w:r>
      <w:r w:rsidR="00F5128E">
        <w:rPr>
          <w:rFonts w:eastAsia="SimSun"/>
          <w:sz w:val="21"/>
          <w:szCs w:val="21"/>
          <w:lang w:val="en-US" w:eastAsia="zh-CN"/>
        </w:rPr>
        <w:t xml:space="preserve"> the need to have short </w:t>
      </w:r>
      <w:r w:rsidR="00ED7CF3">
        <w:rPr>
          <w:rFonts w:eastAsia="SimSun"/>
          <w:sz w:val="21"/>
          <w:szCs w:val="21"/>
          <w:lang w:val="en-US" w:eastAsia="zh-CN"/>
        </w:rPr>
        <w:t xml:space="preserve">term TDM </w:t>
      </w:r>
      <w:r w:rsidR="00F5128E">
        <w:rPr>
          <w:rFonts w:eastAsia="SimSun"/>
          <w:sz w:val="21"/>
          <w:szCs w:val="21"/>
          <w:lang w:val="en-US" w:eastAsia="zh-CN"/>
        </w:rPr>
        <w:t xml:space="preserve">support for BT </w:t>
      </w:r>
      <w:r w:rsidR="002023C0">
        <w:rPr>
          <w:rFonts w:eastAsia="SimSun"/>
          <w:sz w:val="21"/>
          <w:szCs w:val="21"/>
          <w:lang w:val="en-US" w:eastAsia="zh-CN"/>
        </w:rPr>
        <w:t xml:space="preserve">eSCO </w:t>
      </w:r>
      <w:r w:rsidR="0097378D">
        <w:rPr>
          <w:rFonts w:eastAsia="SimSun"/>
          <w:sz w:val="21"/>
          <w:szCs w:val="21"/>
          <w:lang w:val="en-US" w:eastAsia="zh-CN"/>
        </w:rPr>
        <w:t>coexistence with LTE</w:t>
      </w:r>
      <w:r w:rsidR="005E12DA">
        <w:rPr>
          <w:rFonts w:eastAsia="SimSun"/>
          <w:sz w:val="21"/>
          <w:szCs w:val="21"/>
          <w:lang w:val="en-US" w:eastAsia="zh-CN"/>
        </w:rPr>
        <w:t>, in particular because role switch based solutions do not work for the case of car audio or LTE-FDD</w:t>
      </w:r>
      <w:r w:rsidR="0097378D">
        <w:rPr>
          <w:rFonts w:eastAsia="SimSun"/>
          <w:sz w:val="21"/>
          <w:szCs w:val="21"/>
          <w:lang w:val="en-US" w:eastAsia="zh-CN"/>
        </w:rPr>
        <w:t>.</w:t>
      </w:r>
      <w:r w:rsidR="00B4220C">
        <w:rPr>
          <w:rFonts w:eastAsia="SimSun"/>
          <w:sz w:val="21"/>
          <w:szCs w:val="21"/>
          <w:lang w:val="en-US" w:eastAsia="zh-CN"/>
        </w:rPr>
        <w:t xml:space="preserve"> In </w:t>
      </w:r>
      <w:r w:rsidR="002D5E8D">
        <w:rPr>
          <w:rFonts w:eastAsia="SimSun"/>
          <w:sz w:val="21"/>
          <w:szCs w:val="21"/>
          <w:lang w:val="en-US" w:eastAsia="zh-CN"/>
        </w:rPr>
        <w:t>[3]</w:t>
      </w:r>
      <w:r w:rsidR="00B4220C">
        <w:rPr>
          <w:rFonts w:eastAsia="SimSun"/>
          <w:sz w:val="21"/>
          <w:szCs w:val="21"/>
          <w:lang w:val="en-US" w:eastAsia="zh-CN"/>
        </w:rPr>
        <w:t>, LTE and BT time-lines were presented for a specific offset and the LTE denial rate was illustrated. In this paper, we describe a procedure for autonomous denials for any offset and show the performance achieved over all frame offsets.</w:t>
      </w:r>
      <w:r w:rsidR="0097378D">
        <w:rPr>
          <w:rFonts w:eastAsia="SimSun"/>
          <w:sz w:val="21"/>
          <w:szCs w:val="21"/>
          <w:lang w:val="en-US" w:eastAsia="zh-CN"/>
        </w:rPr>
        <w:t xml:space="preserve"> </w:t>
      </w:r>
    </w:p>
    <w:p w:rsidR="0097378D" w:rsidRPr="0097378D" w:rsidRDefault="0097378D" w:rsidP="0097378D">
      <w:pPr>
        <w:pStyle w:val="Heading1"/>
        <w:rPr>
          <w:rFonts w:eastAsia="SimSun"/>
          <w:lang w:eastAsia="zh-CN"/>
        </w:rPr>
      </w:pPr>
      <w:bookmarkStart w:id="3" w:name="_Ref281991088"/>
      <w:bookmarkEnd w:id="1"/>
      <w:bookmarkEnd w:id="2"/>
      <w:r>
        <w:rPr>
          <w:rFonts w:eastAsia="SimSun"/>
          <w:lang w:eastAsia="zh-CN"/>
        </w:rPr>
        <w:t xml:space="preserve">LTE denials for </w:t>
      </w:r>
      <w:bookmarkEnd w:id="3"/>
      <w:r w:rsidR="00B4220C">
        <w:rPr>
          <w:rFonts w:eastAsia="SimSun"/>
          <w:lang w:eastAsia="zh-CN"/>
        </w:rPr>
        <w:t xml:space="preserve">BT voice </w:t>
      </w:r>
    </w:p>
    <w:p w:rsidR="00724B51" w:rsidRPr="002D5E8D" w:rsidRDefault="00724B51" w:rsidP="00167934">
      <w:pPr>
        <w:jc w:val="both"/>
        <w:rPr>
          <w:rFonts w:eastAsia="SimSun"/>
          <w:sz w:val="21"/>
          <w:szCs w:val="21"/>
          <w:lang w:val="en-US" w:eastAsia="zh-CN"/>
        </w:rPr>
      </w:pPr>
      <w:r w:rsidRPr="002D5E8D">
        <w:rPr>
          <w:rFonts w:eastAsia="SimSun"/>
          <w:sz w:val="21"/>
          <w:szCs w:val="21"/>
          <w:lang w:val="en-US" w:eastAsia="zh-CN"/>
        </w:rPr>
        <w:t xml:space="preserve">As explained in [3], the most used configuration in practice for  BT voice is enhanced Synchronous Connection Oriented (eSCO) mode with a 6 slot interval of total length 3.75msec, and the number of packet transmissions set to three. If the packet is not delivered over an eSCO interval, it is dropped and a new one is transmitted in the next interval. </w:t>
      </w:r>
      <w:r w:rsidR="00B4220C" w:rsidRPr="002D5E8D">
        <w:rPr>
          <w:rFonts w:eastAsia="SimSun"/>
          <w:sz w:val="21"/>
          <w:szCs w:val="21"/>
          <w:lang w:val="en-US" w:eastAsia="zh-CN"/>
        </w:rPr>
        <w:t xml:space="preserve">We consider the case where </w:t>
      </w:r>
      <w:r w:rsidRPr="002D5E8D">
        <w:rPr>
          <w:rFonts w:eastAsia="SimSun"/>
          <w:sz w:val="21"/>
          <w:szCs w:val="21"/>
          <w:lang w:val="en-US" w:eastAsia="zh-CN"/>
        </w:rPr>
        <w:t xml:space="preserve">BT terminal is </w:t>
      </w:r>
      <w:r w:rsidR="00B4220C" w:rsidRPr="002D5E8D">
        <w:rPr>
          <w:rFonts w:eastAsia="SimSun"/>
          <w:sz w:val="21"/>
          <w:szCs w:val="21"/>
          <w:lang w:val="en-US" w:eastAsia="zh-CN"/>
        </w:rPr>
        <w:t>the slave and hence,</w:t>
      </w:r>
      <w:r w:rsidRPr="002D5E8D">
        <w:rPr>
          <w:rFonts w:eastAsia="SimSun"/>
          <w:sz w:val="21"/>
          <w:szCs w:val="21"/>
          <w:lang w:val="en-US" w:eastAsia="zh-CN"/>
        </w:rPr>
        <w:t xml:space="preserve"> has no control on its </w:t>
      </w:r>
      <w:r w:rsidR="00B4220C" w:rsidRPr="002D5E8D">
        <w:rPr>
          <w:rFonts w:eastAsia="SimSun"/>
          <w:sz w:val="21"/>
          <w:szCs w:val="21"/>
          <w:lang w:val="en-US" w:eastAsia="zh-CN"/>
        </w:rPr>
        <w:t>offset from the LTE time-line.</w:t>
      </w:r>
      <w:r w:rsidRPr="002D5E8D">
        <w:rPr>
          <w:rFonts w:eastAsia="SimSun"/>
          <w:sz w:val="21"/>
          <w:szCs w:val="21"/>
          <w:lang w:val="en-US" w:eastAsia="zh-CN"/>
        </w:rPr>
        <w:t xml:space="preserve"> </w:t>
      </w:r>
      <w:r w:rsidR="00167934">
        <w:rPr>
          <w:rFonts w:eastAsia="SimSun"/>
          <w:sz w:val="21"/>
          <w:szCs w:val="21"/>
          <w:lang w:val="en-US" w:eastAsia="zh-CN"/>
        </w:rPr>
        <w:t xml:space="preserve">In addition, we consider the case where LTE is carrying full-buffer traffic, so all DL and UL </w:t>
      </w:r>
      <w:r w:rsidR="00BB0192">
        <w:rPr>
          <w:rFonts w:eastAsia="SimSun"/>
          <w:sz w:val="21"/>
          <w:szCs w:val="21"/>
          <w:lang w:val="en-US" w:eastAsia="zh-CN"/>
        </w:rPr>
        <w:t>subframe</w:t>
      </w:r>
      <w:r w:rsidR="00167934">
        <w:rPr>
          <w:rFonts w:eastAsia="SimSun"/>
          <w:sz w:val="21"/>
          <w:szCs w:val="21"/>
          <w:lang w:val="en-US" w:eastAsia="zh-CN"/>
        </w:rPr>
        <w:t xml:space="preserve">s are considered to be occupied. As discussed in [4], the model of LTE full-buffer with BT eSCO is important for use cases such as video calling or simultaneous voice &amp; LTE data.  </w:t>
      </w:r>
    </w:p>
    <w:p w:rsidR="00664DEB" w:rsidRPr="002D5E8D" w:rsidRDefault="00B4220C" w:rsidP="00B4220C">
      <w:pPr>
        <w:rPr>
          <w:rFonts w:eastAsia="SimSun"/>
          <w:sz w:val="21"/>
          <w:szCs w:val="21"/>
          <w:lang w:val="en-US" w:eastAsia="zh-CN"/>
        </w:rPr>
      </w:pPr>
      <w:r w:rsidRPr="002D5E8D">
        <w:rPr>
          <w:rFonts w:eastAsia="SimSun"/>
          <w:sz w:val="21"/>
          <w:szCs w:val="21"/>
          <w:lang w:val="en-US" w:eastAsia="zh-CN"/>
        </w:rPr>
        <w:t xml:space="preserve">The </w:t>
      </w:r>
      <w:r w:rsidR="00C16527" w:rsidRPr="002D5E8D">
        <w:rPr>
          <w:rFonts w:eastAsia="SimSun"/>
          <w:sz w:val="21"/>
          <w:szCs w:val="21"/>
          <w:lang w:val="en-US" w:eastAsia="zh-CN"/>
        </w:rPr>
        <w:t>scenario</w:t>
      </w:r>
      <w:r w:rsidR="00425E0A" w:rsidRPr="002D5E8D">
        <w:rPr>
          <w:rFonts w:eastAsia="SimSun"/>
          <w:sz w:val="21"/>
          <w:szCs w:val="21"/>
          <w:lang w:val="en-US" w:eastAsia="zh-CN"/>
        </w:rPr>
        <w:t xml:space="preserve"> </w:t>
      </w:r>
      <w:r w:rsidRPr="002D5E8D">
        <w:rPr>
          <w:rFonts w:eastAsia="SimSun"/>
          <w:sz w:val="21"/>
          <w:szCs w:val="21"/>
          <w:lang w:val="en-US" w:eastAsia="zh-CN"/>
        </w:rPr>
        <w:t xml:space="preserve">described in </w:t>
      </w:r>
      <w:r w:rsidR="002D5E8D" w:rsidRPr="002D5E8D">
        <w:rPr>
          <w:rFonts w:eastAsia="SimSun"/>
          <w:sz w:val="21"/>
          <w:szCs w:val="21"/>
          <w:lang w:val="en-US" w:eastAsia="zh-CN"/>
        </w:rPr>
        <w:t>[3]</w:t>
      </w:r>
      <w:r w:rsidRPr="002D5E8D">
        <w:rPr>
          <w:rFonts w:eastAsia="SimSun"/>
          <w:sz w:val="21"/>
          <w:szCs w:val="21"/>
          <w:lang w:val="en-US" w:eastAsia="zh-CN"/>
        </w:rPr>
        <w:t xml:space="preserve"> for </w:t>
      </w:r>
      <w:r w:rsidR="00425E0A" w:rsidRPr="002D5E8D">
        <w:rPr>
          <w:rFonts w:eastAsia="SimSun"/>
          <w:sz w:val="21"/>
          <w:szCs w:val="21"/>
          <w:lang w:val="en-US" w:eastAsia="zh-CN"/>
        </w:rPr>
        <w:t xml:space="preserve"> </w:t>
      </w:r>
      <w:r w:rsidR="00664DEB" w:rsidRPr="002D5E8D">
        <w:rPr>
          <w:rFonts w:eastAsia="SimSun"/>
          <w:sz w:val="21"/>
          <w:szCs w:val="21"/>
          <w:lang w:val="en-US" w:eastAsia="zh-CN"/>
        </w:rPr>
        <w:t xml:space="preserve">LTE in Band 40 </w:t>
      </w:r>
      <w:r w:rsidR="005E12DA" w:rsidRPr="002D5E8D">
        <w:rPr>
          <w:rFonts w:eastAsia="SimSun"/>
          <w:sz w:val="21"/>
          <w:szCs w:val="21"/>
          <w:lang w:val="en-US" w:eastAsia="zh-CN"/>
        </w:rPr>
        <w:t>(TDD</w:t>
      </w:r>
      <w:r w:rsidR="000B27AA">
        <w:rPr>
          <w:rFonts w:eastAsia="SimSun"/>
          <w:sz w:val="21"/>
          <w:szCs w:val="21"/>
          <w:lang w:val="en-US" w:eastAsia="zh-CN"/>
        </w:rPr>
        <w:t>, Configuration 1</w:t>
      </w:r>
      <w:r w:rsidR="005E12DA" w:rsidRPr="002D5E8D">
        <w:rPr>
          <w:rFonts w:eastAsia="SimSun"/>
          <w:sz w:val="21"/>
          <w:szCs w:val="21"/>
          <w:lang w:val="en-US" w:eastAsia="zh-CN"/>
        </w:rPr>
        <w:t xml:space="preserve">) </w:t>
      </w:r>
      <w:r w:rsidR="00425E0A" w:rsidRPr="002D5E8D">
        <w:rPr>
          <w:rFonts w:eastAsia="SimSun"/>
          <w:sz w:val="21"/>
          <w:szCs w:val="21"/>
          <w:lang w:val="en-US" w:eastAsia="zh-CN"/>
        </w:rPr>
        <w:t xml:space="preserve">and BT slave </w:t>
      </w:r>
      <w:r w:rsidRPr="002D5E8D">
        <w:rPr>
          <w:rFonts w:eastAsia="SimSun"/>
          <w:sz w:val="21"/>
          <w:szCs w:val="21"/>
          <w:lang w:val="en-US" w:eastAsia="zh-CN"/>
        </w:rPr>
        <w:t>for a particular</w:t>
      </w:r>
      <w:r w:rsidR="00664DEB" w:rsidRPr="002D5E8D">
        <w:rPr>
          <w:rFonts w:eastAsia="SimSun"/>
          <w:sz w:val="21"/>
          <w:szCs w:val="21"/>
          <w:lang w:val="en-US" w:eastAsia="zh-CN"/>
        </w:rPr>
        <w:t xml:space="preserve"> timing offset is </w:t>
      </w:r>
      <w:r w:rsidRPr="002D5E8D">
        <w:rPr>
          <w:rFonts w:eastAsia="SimSun"/>
          <w:sz w:val="21"/>
          <w:szCs w:val="21"/>
          <w:lang w:val="en-US" w:eastAsia="zh-CN"/>
        </w:rPr>
        <w:t>reproduced below</w:t>
      </w:r>
      <w:r w:rsidR="00664DEB" w:rsidRPr="002D5E8D">
        <w:rPr>
          <w:rFonts w:eastAsia="SimSun"/>
          <w:sz w:val="21"/>
          <w:szCs w:val="21"/>
          <w:lang w:val="en-US" w:eastAsia="zh-CN"/>
        </w:rPr>
        <w:t xml:space="preserve"> in</w:t>
      </w:r>
      <w:r w:rsidR="002D5E8D">
        <w:rPr>
          <w:rFonts w:eastAsia="SimSun"/>
          <w:sz w:val="21"/>
          <w:szCs w:val="21"/>
          <w:lang w:val="en-US" w:eastAsia="zh-CN"/>
        </w:rPr>
        <w:t xml:space="preserve"> </w:t>
      </w:r>
      <w:fldSimple w:instr=" REF _Ref285109959 \h  \* MERGEFORMAT ">
        <w:r w:rsidR="004115B6" w:rsidRPr="004115B6">
          <w:rPr>
            <w:rFonts w:eastAsia="SimSun"/>
            <w:sz w:val="21"/>
            <w:szCs w:val="21"/>
            <w:lang w:val="en-US" w:eastAsia="zh-CN"/>
          </w:rPr>
          <w:t>Figure 1</w:t>
        </w:r>
      </w:fldSimple>
      <w:r w:rsidR="00664DEB" w:rsidRPr="002D5E8D">
        <w:rPr>
          <w:rFonts w:eastAsia="SimSun"/>
          <w:sz w:val="21"/>
          <w:szCs w:val="21"/>
          <w:lang w:val="en-US" w:eastAsia="zh-CN"/>
        </w:rPr>
        <w:t xml:space="preserve">. In order to provide at least one Tx and one Rx opportunity per eSCO interval for BT, some LTE subframes need to be denied. </w:t>
      </w:r>
      <w:r w:rsidRPr="002D5E8D">
        <w:rPr>
          <w:rFonts w:eastAsia="SimSun"/>
          <w:sz w:val="21"/>
          <w:szCs w:val="21"/>
          <w:lang w:val="en-US" w:eastAsia="zh-CN"/>
        </w:rPr>
        <w:t>T</w:t>
      </w:r>
      <w:r w:rsidR="00664DEB" w:rsidRPr="002D5E8D">
        <w:rPr>
          <w:rFonts w:eastAsia="SimSun"/>
          <w:sz w:val="21"/>
          <w:szCs w:val="21"/>
          <w:lang w:val="en-US" w:eastAsia="zh-CN"/>
        </w:rPr>
        <w:t xml:space="preserve">he impact to LTE </w:t>
      </w:r>
      <w:r w:rsidRPr="002D5E8D">
        <w:rPr>
          <w:rFonts w:eastAsia="SimSun"/>
          <w:sz w:val="21"/>
          <w:szCs w:val="21"/>
          <w:lang w:val="en-US" w:eastAsia="zh-CN"/>
        </w:rPr>
        <w:t xml:space="preserve">can be minimized </w:t>
      </w:r>
      <w:r w:rsidR="00664DEB" w:rsidRPr="002D5E8D">
        <w:rPr>
          <w:rFonts w:eastAsia="SimSun"/>
          <w:sz w:val="21"/>
          <w:szCs w:val="21"/>
          <w:lang w:val="en-US" w:eastAsia="zh-CN"/>
        </w:rPr>
        <w:t xml:space="preserve">by carefully selecting the denied subframes. In the figure shown, 2 out of 9 DL subframes and 1 out of 6 UL subframes are denied, leading to 22.2% DL </w:t>
      </w:r>
      <w:r w:rsidR="006070C9" w:rsidRPr="002D5E8D">
        <w:rPr>
          <w:rFonts w:eastAsia="SimSun"/>
          <w:sz w:val="21"/>
          <w:szCs w:val="21"/>
          <w:lang w:val="en-US" w:eastAsia="zh-CN"/>
        </w:rPr>
        <w:t xml:space="preserve">subframe </w:t>
      </w:r>
      <w:r w:rsidR="00664DEB" w:rsidRPr="002D5E8D">
        <w:rPr>
          <w:rFonts w:eastAsia="SimSun"/>
          <w:sz w:val="21"/>
          <w:szCs w:val="21"/>
          <w:lang w:val="en-US" w:eastAsia="zh-CN"/>
        </w:rPr>
        <w:t xml:space="preserve">error rate and 16.7% UL </w:t>
      </w:r>
      <w:r w:rsidR="006070C9" w:rsidRPr="002D5E8D">
        <w:rPr>
          <w:rFonts w:eastAsia="SimSun"/>
          <w:sz w:val="21"/>
          <w:szCs w:val="21"/>
          <w:lang w:val="en-US" w:eastAsia="zh-CN"/>
        </w:rPr>
        <w:t xml:space="preserve">subframe </w:t>
      </w:r>
      <w:r w:rsidR="00664DEB" w:rsidRPr="002D5E8D">
        <w:rPr>
          <w:rFonts w:eastAsia="SimSun"/>
          <w:sz w:val="21"/>
          <w:szCs w:val="21"/>
          <w:lang w:val="en-US" w:eastAsia="zh-CN"/>
        </w:rPr>
        <w:t>error rate.</w:t>
      </w:r>
      <w:r w:rsidR="005E12DA" w:rsidRPr="002D5E8D">
        <w:rPr>
          <w:rFonts w:eastAsia="SimSun"/>
          <w:sz w:val="21"/>
          <w:szCs w:val="21"/>
          <w:lang w:val="en-US" w:eastAsia="zh-CN"/>
        </w:rPr>
        <w:t xml:space="preserve"> </w:t>
      </w:r>
    </w:p>
    <w:p w:rsidR="002D5E8D" w:rsidRDefault="003662EE" w:rsidP="00FB7C4F">
      <w:pPr>
        <w:pStyle w:val="Caption"/>
        <w:jc w:val="center"/>
      </w:pPr>
      <w:r>
        <w:object w:dxaOrig="11621" w:dyaOrig="3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05pt;height:118.2pt;mso-position-vertical:absolute" o:ole="">
            <v:imagedata r:id="rId19" o:title="" cropbottom="7211f"/>
          </v:shape>
          <o:OLEObject Type="Embed" ProgID="Visio.Drawing.11" ShapeID="_x0000_i1025" DrawAspect="Content" ObjectID="_1359225531" r:id="rId20"/>
        </w:object>
      </w:r>
      <w:r w:rsidR="00FB7C4F">
        <w:t xml:space="preserve"> </w:t>
      </w:r>
    </w:p>
    <w:p w:rsidR="006070C9" w:rsidRDefault="00FB7C4F" w:rsidP="00FB7C4F">
      <w:pPr>
        <w:pStyle w:val="Caption"/>
        <w:jc w:val="center"/>
      </w:pPr>
      <w:bookmarkStart w:id="4" w:name="_Ref285109959"/>
      <w:r>
        <w:t xml:space="preserve">Figure </w:t>
      </w:r>
      <w:fldSimple w:instr=" SEQ Figure \* ARABIC ">
        <w:r w:rsidR="004115B6">
          <w:rPr>
            <w:noProof/>
          </w:rPr>
          <w:t>1</w:t>
        </w:r>
      </w:fldSimple>
      <w:bookmarkEnd w:id="4"/>
      <w:r>
        <w:t xml:space="preserve">: </w:t>
      </w:r>
      <w:r w:rsidR="00664DEB">
        <w:t>LTE in Band 40 with BT Slave</w:t>
      </w:r>
    </w:p>
    <w:p w:rsidR="00B4220C" w:rsidRPr="002D5E8D" w:rsidRDefault="00B4220C" w:rsidP="00FB7C4F">
      <w:pPr>
        <w:jc w:val="both"/>
        <w:rPr>
          <w:rFonts w:eastAsia="SimSun"/>
          <w:sz w:val="21"/>
          <w:szCs w:val="21"/>
          <w:lang w:val="en-US" w:eastAsia="zh-CN"/>
        </w:rPr>
      </w:pPr>
      <w:r w:rsidRPr="002D5E8D">
        <w:rPr>
          <w:rFonts w:eastAsia="SimSun"/>
          <w:sz w:val="21"/>
          <w:szCs w:val="21"/>
          <w:lang w:val="en-US" w:eastAsia="zh-CN"/>
        </w:rPr>
        <w:t xml:space="preserve">To generalize this </w:t>
      </w:r>
      <w:r w:rsidR="00FB7C4F" w:rsidRPr="002D5E8D">
        <w:rPr>
          <w:rFonts w:eastAsia="SimSun"/>
          <w:sz w:val="21"/>
          <w:szCs w:val="21"/>
          <w:lang w:val="en-US" w:eastAsia="zh-CN"/>
        </w:rPr>
        <w:t>approach</w:t>
      </w:r>
      <w:r w:rsidRPr="002D5E8D">
        <w:rPr>
          <w:rFonts w:eastAsia="SimSun"/>
          <w:sz w:val="21"/>
          <w:szCs w:val="21"/>
          <w:lang w:val="en-US" w:eastAsia="zh-CN"/>
        </w:rPr>
        <w:t xml:space="preserve"> to any offset between LTE and BT, the following procedure can be used. </w:t>
      </w:r>
      <w:r w:rsidR="00FB7C4F" w:rsidRPr="002D5E8D">
        <w:rPr>
          <w:rFonts w:eastAsia="SimSun"/>
          <w:sz w:val="21"/>
          <w:szCs w:val="21"/>
          <w:lang w:val="en-US" w:eastAsia="zh-CN"/>
        </w:rPr>
        <w:t xml:space="preserve">For the given offset and for each eSCO interval, identify the Rx/Tx slot pair that results in the least number of LTE </w:t>
      </w:r>
      <w:r w:rsidR="00BB0192">
        <w:rPr>
          <w:rFonts w:eastAsia="SimSun"/>
          <w:sz w:val="21"/>
          <w:szCs w:val="21"/>
          <w:lang w:val="en-US" w:eastAsia="zh-CN"/>
        </w:rPr>
        <w:t>subframe</w:t>
      </w:r>
      <w:r w:rsidR="00FB7C4F" w:rsidRPr="002D5E8D">
        <w:rPr>
          <w:rFonts w:eastAsia="SimSun"/>
          <w:sz w:val="21"/>
          <w:szCs w:val="21"/>
          <w:lang w:val="en-US" w:eastAsia="zh-CN"/>
        </w:rPr>
        <w:t xml:space="preserve">s being denied. For BT slave and the 6 slot eSCO configuration, there are only five possible Rx/Tx slot pairs that result in an eSCO packet being successful to and from the device. The five eSCO sequences are </w:t>
      </w:r>
      <w:r w:rsidR="00FB7C4F" w:rsidRPr="002D5E8D">
        <w:rPr>
          <w:rFonts w:eastAsia="SimSun"/>
          <w:sz w:val="21"/>
          <w:szCs w:val="21"/>
          <w:lang w:val="en-US" w:eastAsia="zh-CN"/>
        </w:rPr>
        <w:lastRenderedPageBreak/>
        <w:t>shown in</w:t>
      </w:r>
      <w:r w:rsidR="00167934">
        <w:rPr>
          <w:rFonts w:eastAsia="SimSun"/>
          <w:sz w:val="21"/>
          <w:szCs w:val="21"/>
          <w:lang w:val="en-US" w:eastAsia="zh-CN"/>
        </w:rPr>
        <w:t xml:space="preserve"> </w:t>
      </w:r>
      <w:r w:rsidR="00D252FA">
        <w:rPr>
          <w:rFonts w:eastAsia="SimSun"/>
          <w:sz w:val="21"/>
          <w:szCs w:val="21"/>
          <w:lang w:val="en-US" w:eastAsia="zh-CN"/>
        </w:rPr>
        <w:fldChar w:fldCharType="begin"/>
      </w:r>
      <w:r w:rsidR="00167934">
        <w:rPr>
          <w:rFonts w:eastAsia="SimSun"/>
          <w:sz w:val="21"/>
          <w:szCs w:val="21"/>
          <w:lang w:val="en-US" w:eastAsia="zh-CN"/>
        </w:rPr>
        <w:instrText xml:space="preserve"> REF _Ref285110470 \h </w:instrText>
      </w:r>
      <w:r w:rsidR="00D252FA">
        <w:rPr>
          <w:rFonts w:eastAsia="SimSun"/>
          <w:sz w:val="21"/>
          <w:szCs w:val="21"/>
          <w:lang w:val="en-US" w:eastAsia="zh-CN"/>
        </w:rPr>
      </w:r>
      <w:r w:rsidR="00D252FA">
        <w:rPr>
          <w:rFonts w:eastAsia="SimSun"/>
          <w:sz w:val="21"/>
          <w:szCs w:val="21"/>
          <w:lang w:val="en-US" w:eastAsia="zh-CN"/>
        </w:rPr>
        <w:fldChar w:fldCharType="separate"/>
      </w:r>
      <w:r w:rsidR="004115B6">
        <w:t xml:space="preserve">Figure </w:t>
      </w:r>
      <w:r w:rsidR="004115B6">
        <w:rPr>
          <w:noProof/>
        </w:rPr>
        <w:t>2</w:t>
      </w:r>
      <w:r w:rsidR="00D252FA">
        <w:rPr>
          <w:rFonts w:eastAsia="SimSun"/>
          <w:sz w:val="21"/>
          <w:szCs w:val="21"/>
          <w:lang w:val="en-US" w:eastAsia="zh-CN"/>
        </w:rPr>
        <w:fldChar w:fldCharType="end"/>
      </w:r>
      <w:r w:rsidR="00167934">
        <w:rPr>
          <w:rFonts w:eastAsia="SimSun"/>
          <w:sz w:val="21"/>
          <w:szCs w:val="21"/>
          <w:lang w:val="en-US" w:eastAsia="zh-CN"/>
        </w:rPr>
        <w:t xml:space="preserve">. </w:t>
      </w:r>
      <w:r w:rsidR="00FB7C4F" w:rsidRPr="002D5E8D">
        <w:rPr>
          <w:rFonts w:eastAsia="SimSun"/>
          <w:sz w:val="21"/>
          <w:szCs w:val="21"/>
          <w:lang w:val="en-US" w:eastAsia="zh-CN"/>
        </w:rPr>
        <w:t>The sequences to the left correspond to the case where the first transmit slot (which is reserved) is successful. For the remaining Tx slots, the Slave needs to have a successful Rx slot immediately before the Tx slot, so it can confirm that the Master has addressed this Slave. The resulting sequences are shown to the right in</w:t>
      </w:r>
      <w:r w:rsidR="00541B2E">
        <w:rPr>
          <w:rFonts w:eastAsia="SimSun"/>
          <w:sz w:val="21"/>
          <w:szCs w:val="21"/>
          <w:lang w:val="en-US" w:eastAsia="zh-CN"/>
        </w:rPr>
        <w:t xml:space="preserve"> </w:t>
      </w:r>
      <w:fldSimple w:instr=" REF _Ref285110470 \h  \* MERGEFORMAT ">
        <w:r w:rsidR="004115B6" w:rsidRPr="004115B6">
          <w:rPr>
            <w:rFonts w:eastAsia="SimSun"/>
            <w:sz w:val="21"/>
            <w:szCs w:val="21"/>
            <w:lang w:val="en-US" w:eastAsia="zh-CN"/>
          </w:rPr>
          <w:t>Figure 2</w:t>
        </w:r>
      </w:fldSimple>
      <w:r w:rsidR="00541B2E">
        <w:rPr>
          <w:rFonts w:eastAsia="SimSun"/>
          <w:sz w:val="21"/>
          <w:szCs w:val="21"/>
          <w:lang w:val="en-US" w:eastAsia="zh-CN"/>
        </w:rPr>
        <w:t>.</w:t>
      </w:r>
    </w:p>
    <w:p w:rsidR="00FB7C4F" w:rsidRDefault="002132C6" w:rsidP="00FB7C4F">
      <w:pPr>
        <w:pStyle w:val="Caption"/>
        <w:jc w:val="center"/>
        <w:rPr>
          <w:rFonts w:eastAsia="SimSun"/>
        </w:rPr>
      </w:pPr>
      <w:r w:rsidRPr="00B7705B">
        <w:rPr>
          <w:rFonts w:eastAsia="SimSun"/>
        </w:rPr>
        <w:object w:dxaOrig="11621" w:dyaOrig="3280">
          <v:shape id="_x0000_i1026" type="#_x0000_t75" style="width:356.6pt;height:104.6pt" o:ole="">
            <v:imagedata r:id="rId21" o:title="" croptop="5754f" cropbottom="8631f" cropright="16241f"/>
          </v:shape>
          <o:OLEObject Type="Embed" ProgID="Visio.Drawing.11" ShapeID="_x0000_i1026" DrawAspect="Content" ObjectID="_1359225532" r:id="rId22"/>
        </w:object>
      </w:r>
      <w:bookmarkStart w:id="5" w:name="_Ref285103618"/>
    </w:p>
    <w:p w:rsidR="00541B2E" w:rsidRPr="00541B2E" w:rsidRDefault="00541B2E" w:rsidP="00541B2E">
      <w:pPr>
        <w:pStyle w:val="Caption"/>
        <w:spacing w:after="0"/>
        <w:jc w:val="center"/>
        <w:rPr>
          <w:sz w:val="2"/>
          <w:szCs w:val="2"/>
        </w:rPr>
      </w:pPr>
    </w:p>
    <w:p w:rsidR="00FB7C4F" w:rsidRDefault="00FB7C4F" w:rsidP="00FB7C4F">
      <w:pPr>
        <w:pStyle w:val="Caption"/>
        <w:jc w:val="center"/>
      </w:pPr>
      <w:bookmarkStart w:id="6" w:name="_Ref285110470"/>
      <w:r>
        <w:t xml:space="preserve">Figure </w:t>
      </w:r>
      <w:fldSimple w:instr=" SEQ Figure \* ARABIC ">
        <w:r w:rsidR="004115B6">
          <w:rPr>
            <w:noProof/>
          </w:rPr>
          <w:t>2</w:t>
        </w:r>
      </w:fldSimple>
      <w:bookmarkEnd w:id="5"/>
      <w:bookmarkEnd w:id="6"/>
      <w:r>
        <w:t>: Possible eSCO Rx/Tx slot pairs for BT slave</w:t>
      </w:r>
    </w:p>
    <w:p w:rsidR="00FB7C4F" w:rsidRPr="002D5E8D" w:rsidRDefault="00FB7C4F" w:rsidP="00FB7C4F">
      <w:pPr>
        <w:jc w:val="both"/>
        <w:rPr>
          <w:rFonts w:eastAsia="SimSun"/>
          <w:sz w:val="21"/>
          <w:szCs w:val="21"/>
          <w:lang w:val="en-US" w:eastAsia="zh-CN"/>
        </w:rPr>
      </w:pPr>
      <w:r w:rsidRPr="002D5E8D">
        <w:rPr>
          <w:rFonts w:eastAsia="SimSun"/>
          <w:sz w:val="21"/>
          <w:szCs w:val="21"/>
          <w:lang w:val="en-US" w:eastAsia="zh-CN"/>
        </w:rPr>
        <w:t xml:space="preserve">Based on the current offset, we can compute the number of LTE UL and DL </w:t>
      </w:r>
      <w:r w:rsidR="00BB0192">
        <w:rPr>
          <w:rFonts w:eastAsia="SimSun"/>
          <w:sz w:val="21"/>
          <w:szCs w:val="21"/>
          <w:lang w:val="en-US" w:eastAsia="zh-CN"/>
        </w:rPr>
        <w:t>subframe</w:t>
      </w:r>
      <w:r w:rsidRPr="002D5E8D">
        <w:rPr>
          <w:rFonts w:eastAsia="SimSun"/>
          <w:sz w:val="21"/>
          <w:szCs w:val="21"/>
          <w:lang w:val="en-US" w:eastAsia="zh-CN"/>
        </w:rPr>
        <w:t xml:space="preserve">s that need to be denied to allow each of the five eSCO sequences. The sequence that results in the least number of total </w:t>
      </w:r>
      <w:r w:rsidR="00BB0192">
        <w:rPr>
          <w:rFonts w:eastAsia="SimSun"/>
          <w:sz w:val="21"/>
          <w:szCs w:val="21"/>
          <w:lang w:val="en-US" w:eastAsia="zh-CN"/>
        </w:rPr>
        <w:t>subframe</w:t>
      </w:r>
      <w:r w:rsidRPr="002D5E8D">
        <w:rPr>
          <w:rFonts w:eastAsia="SimSun"/>
          <w:sz w:val="21"/>
          <w:szCs w:val="21"/>
          <w:lang w:val="en-US" w:eastAsia="zh-CN"/>
        </w:rPr>
        <w:t xml:space="preserve">s denied (or a weighted combination of LTE UL and DL subframes) can be chosen and the corresponding </w:t>
      </w:r>
      <w:r w:rsidR="00BB0192">
        <w:rPr>
          <w:rFonts w:eastAsia="SimSun"/>
          <w:sz w:val="21"/>
          <w:szCs w:val="21"/>
          <w:lang w:val="en-US" w:eastAsia="zh-CN"/>
        </w:rPr>
        <w:t>subframe</w:t>
      </w:r>
      <w:r w:rsidRPr="002D5E8D">
        <w:rPr>
          <w:rFonts w:eastAsia="SimSun"/>
          <w:sz w:val="21"/>
          <w:szCs w:val="21"/>
          <w:lang w:val="en-US" w:eastAsia="zh-CN"/>
        </w:rPr>
        <w:t xml:space="preserve">s denied. Since the phase of the eSCO intervals with respect to LTE </w:t>
      </w:r>
      <w:r w:rsidR="00BB0192">
        <w:rPr>
          <w:rFonts w:eastAsia="SimSun"/>
          <w:sz w:val="21"/>
          <w:szCs w:val="21"/>
          <w:lang w:val="en-US" w:eastAsia="zh-CN"/>
        </w:rPr>
        <w:t>subframe</w:t>
      </w:r>
      <w:r w:rsidRPr="002D5E8D">
        <w:rPr>
          <w:rFonts w:eastAsia="SimSun"/>
          <w:sz w:val="21"/>
          <w:szCs w:val="21"/>
          <w:lang w:val="en-US" w:eastAsia="zh-CN"/>
        </w:rPr>
        <w:t>s repeats after 4 eSCO intervals, the eSCO sequence selection needs to be done only 4 times for a given offset.</w:t>
      </w:r>
    </w:p>
    <w:p w:rsidR="00FB7C4F" w:rsidRPr="002D5E8D" w:rsidRDefault="002132C6" w:rsidP="00FB7C4F">
      <w:pPr>
        <w:rPr>
          <w:rFonts w:eastAsia="SimSun"/>
          <w:sz w:val="21"/>
          <w:szCs w:val="21"/>
          <w:lang w:val="en-US" w:eastAsia="zh-CN"/>
        </w:rPr>
      </w:pPr>
      <w:r>
        <w:rPr>
          <w:rFonts w:eastAsia="SimSun"/>
          <w:sz w:val="21"/>
          <w:szCs w:val="21"/>
          <w:lang w:val="en-US" w:eastAsia="zh-CN"/>
        </w:rPr>
        <w:t>This</w:t>
      </w:r>
      <w:r w:rsidR="00FB7C4F" w:rsidRPr="002D5E8D">
        <w:rPr>
          <w:rFonts w:eastAsia="SimSun"/>
          <w:sz w:val="21"/>
          <w:szCs w:val="21"/>
          <w:lang w:val="en-US" w:eastAsia="zh-CN"/>
        </w:rPr>
        <w:t xml:space="preserve"> procedure guarantees at least one Rx and one Tx opportunity for BT while minimizing the number of LTE </w:t>
      </w:r>
      <w:r w:rsidR="00BB0192">
        <w:rPr>
          <w:rFonts w:eastAsia="SimSun"/>
          <w:sz w:val="21"/>
          <w:szCs w:val="21"/>
          <w:lang w:val="en-US" w:eastAsia="zh-CN"/>
        </w:rPr>
        <w:t>subframe</w:t>
      </w:r>
      <w:r w:rsidR="00FB7C4F" w:rsidRPr="002D5E8D">
        <w:rPr>
          <w:rFonts w:eastAsia="SimSun"/>
          <w:sz w:val="21"/>
          <w:szCs w:val="21"/>
          <w:lang w:val="en-US" w:eastAsia="zh-CN"/>
        </w:rPr>
        <w:t xml:space="preserve">s denied. It can </w:t>
      </w:r>
      <w:r w:rsidR="009B7C09" w:rsidRPr="002D5E8D">
        <w:rPr>
          <w:rFonts w:eastAsia="SimSun"/>
          <w:sz w:val="21"/>
          <w:szCs w:val="21"/>
          <w:lang w:val="en-US" w:eastAsia="zh-CN"/>
        </w:rPr>
        <w:t xml:space="preserve">also </w:t>
      </w:r>
      <w:r w:rsidR="00FB7C4F" w:rsidRPr="002D5E8D">
        <w:rPr>
          <w:rFonts w:eastAsia="SimSun"/>
          <w:sz w:val="21"/>
          <w:szCs w:val="21"/>
          <w:lang w:val="en-US" w:eastAsia="zh-CN"/>
        </w:rPr>
        <w:t xml:space="preserve">be applied to Band 7 (for both Master and Slave), where only LTE </w:t>
      </w:r>
      <w:r w:rsidR="009B7C09" w:rsidRPr="002D5E8D">
        <w:rPr>
          <w:rFonts w:eastAsia="SimSun"/>
          <w:sz w:val="21"/>
          <w:szCs w:val="21"/>
          <w:lang w:val="en-US" w:eastAsia="zh-CN"/>
        </w:rPr>
        <w:t xml:space="preserve">UL </w:t>
      </w:r>
      <w:r w:rsidR="00BB0192">
        <w:rPr>
          <w:rFonts w:eastAsia="SimSun"/>
          <w:sz w:val="21"/>
          <w:szCs w:val="21"/>
          <w:lang w:val="en-US" w:eastAsia="zh-CN"/>
        </w:rPr>
        <w:t>subframe</w:t>
      </w:r>
      <w:r w:rsidR="009B7C09" w:rsidRPr="002D5E8D">
        <w:rPr>
          <w:rFonts w:eastAsia="SimSun"/>
          <w:sz w:val="21"/>
          <w:szCs w:val="21"/>
          <w:lang w:val="en-US" w:eastAsia="zh-CN"/>
        </w:rPr>
        <w:t>s need to be denied, and a similar approach could be used for other LTE</w:t>
      </w:r>
      <w:r w:rsidR="00FB7C4F" w:rsidRPr="002D5E8D">
        <w:rPr>
          <w:rFonts w:eastAsia="SimSun"/>
          <w:sz w:val="21"/>
          <w:szCs w:val="21"/>
          <w:lang w:val="en-US" w:eastAsia="zh-CN"/>
        </w:rPr>
        <w:t xml:space="preserve"> </w:t>
      </w:r>
      <w:r w:rsidR="009B7C09" w:rsidRPr="002D5E8D">
        <w:rPr>
          <w:rFonts w:eastAsia="SimSun"/>
          <w:sz w:val="21"/>
          <w:szCs w:val="21"/>
          <w:lang w:val="en-US" w:eastAsia="zh-CN"/>
        </w:rPr>
        <w:t xml:space="preserve">configurations as well. </w:t>
      </w:r>
    </w:p>
    <w:p w:rsidR="00FB7C4F" w:rsidRPr="002D5E8D" w:rsidRDefault="00FB7C4F" w:rsidP="009B7C09">
      <w:pPr>
        <w:jc w:val="both"/>
        <w:rPr>
          <w:rFonts w:eastAsia="SimSun"/>
          <w:sz w:val="21"/>
          <w:szCs w:val="21"/>
          <w:lang w:val="en-US" w:eastAsia="zh-CN"/>
        </w:rPr>
      </w:pPr>
      <w:r w:rsidRPr="002D5E8D">
        <w:rPr>
          <w:rFonts w:eastAsia="SimSun"/>
          <w:sz w:val="21"/>
          <w:szCs w:val="21"/>
          <w:lang w:val="en-US" w:eastAsia="zh-CN"/>
        </w:rPr>
        <w:t xml:space="preserve">With the above procedure, the </w:t>
      </w:r>
      <w:r w:rsidR="002132C6">
        <w:rPr>
          <w:rFonts w:eastAsia="SimSun"/>
          <w:sz w:val="21"/>
          <w:szCs w:val="21"/>
          <w:lang w:val="en-US" w:eastAsia="zh-CN"/>
        </w:rPr>
        <w:t xml:space="preserve">LTE denial rates were simulated </w:t>
      </w:r>
      <w:r w:rsidR="009B7C09" w:rsidRPr="002D5E8D">
        <w:rPr>
          <w:rFonts w:eastAsia="SimSun"/>
          <w:sz w:val="21"/>
          <w:szCs w:val="21"/>
          <w:lang w:val="en-US" w:eastAsia="zh-CN"/>
        </w:rPr>
        <w:t>across all frame offsets</w:t>
      </w:r>
      <w:r w:rsidR="00D67E68">
        <w:rPr>
          <w:rFonts w:eastAsia="SimSun"/>
          <w:sz w:val="21"/>
          <w:szCs w:val="21"/>
          <w:lang w:val="en-US" w:eastAsia="zh-CN"/>
        </w:rPr>
        <w:t xml:space="preserve"> for both Band 40 and Band 7</w:t>
      </w:r>
      <w:r w:rsidR="002132C6">
        <w:rPr>
          <w:rFonts w:eastAsia="SimSun"/>
          <w:sz w:val="21"/>
          <w:szCs w:val="21"/>
          <w:lang w:val="en-US" w:eastAsia="zh-CN"/>
        </w:rPr>
        <w:t>. The average denial rates</w:t>
      </w:r>
      <w:r w:rsidR="009B7C09" w:rsidRPr="002D5E8D">
        <w:rPr>
          <w:rFonts w:eastAsia="SimSun"/>
          <w:sz w:val="21"/>
          <w:szCs w:val="21"/>
          <w:lang w:val="en-US" w:eastAsia="zh-CN"/>
        </w:rPr>
        <w:t xml:space="preserve"> are as shown in </w:t>
      </w:r>
      <w:fldSimple w:instr=" REF _Ref285107871 \h  \* MERGEFORMAT ">
        <w:r w:rsidR="004115B6" w:rsidRPr="004115B6">
          <w:rPr>
            <w:rFonts w:eastAsia="SimSun"/>
            <w:sz w:val="21"/>
            <w:szCs w:val="21"/>
            <w:lang w:val="en-US" w:eastAsia="zh-CN"/>
          </w:rPr>
          <w:t>Table 1</w:t>
        </w:r>
      </w:fldSimple>
      <w:r w:rsidR="009B7C09" w:rsidRPr="002D5E8D">
        <w:rPr>
          <w:rFonts w:eastAsia="SimSun"/>
          <w:sz w:val="21"/>
          <w:szCs w:val="21"/>
          <w:lang w:val="en-US" w:eastAsia="zh-CN"/>
        </w:rPr>
        <w:t xml:space="preserve"> below.  </w:t>
      </w:r>
    </w:p>
    <w:p w:rsidR="009B7C09" w:rsidRDefault="009B7C09" w:rsidP="009B7C09">
      <w:pPr>
        <w:pStyle w:val="Caption"/>
        <w:jc w:val="center"/>
        <w:rPr>
          <w:rFonts w:eastAsia="SimSun"/>
        </w:rPr>
      </w:pPr>
      <w:bookmarkStart w:id="7" w:name="_Ref285107871"/>
      <w:r>
        <w:rPr>
          <w:rFonts w:eastAsia="SimSun"/>
        </w:rPr>
        <w:t xml:space="preserve">Table </w:t>
      </w:r>
      <w:r w:rsidR="00D252FA">
        <w:rPr>
          <w:rFonts w:eastAsia="SimSun"/>
        </w:rPr>
        <w:fldChar w:fldCharType="begin"/>
      </w:r>
      <w:r>
        <w:rPr>
          <w:rFonts w:eastAsia="SimSun"/>
        </w:rPr>
        <w:instrText xml:space="preserve"> SEQ Table \* ARABIC </w:instrText>
      </w:r>
      <w:r w:rsidR="00D252FA">
        <w:rPr>
          <w:rFonts w:eastAsia="SimSun"/>
        </w:rPr>
        <w:fldChar w:fldCharType="separate"/>
      </w:r>
      <w:r w:rsidR="004115B6">
        <w:rPr>
          <w:rFonts w:eastAsia="SimSun"/>
          <w:noProof/>
        </w:rPr>
        <w:t>1</w:t>
      </w:r>
      <w:r w:rsidR="00D252FA">
        <w:rPr>
          <w:rFonts w:eastAsia="SimSun"/>
        </w:rPr>
        <w:fldChar w:fldCharType="end"/>
      </w:r>
      <w:bookmarkEnd w:id="7"/>
      <w:r>
        <w:rPr>
          <w:rFonts w:eastAsia="SimSun"/>
        </w:rPr>
        <w:t>: LTE Denial Rates averaged across offsets</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0"/>
        <w:gridCol w:w="1260"/>
        <w:gridCol w:w="1980"/>
        <w:gridCol w:w="1980"/>
      </w:tblGrid>
      <w:tr w:rsidR="00284E73" w:rsidRPr="00284E73" w:rsidTr="00284E73">
        <w:trPr>
          <w:jc w:val="center"/>
        </w:trPr>
        <w:tc>
          <w:tcPr>
            <w:tcW w:w="1260" w:type="dxa"/>
          </w:tcPr>
          <w:p w:rsidR="009B7C09" w:rsidRPr="00284E73" w:rsidRDefault="009B7C09" w:rsidP="00284E73">
            <w:pPr>
              <w:jc w:val="center"/>
              <w:rPr>
                <w:rFonts w:eastAsia="SimSun"/>
                <w:b/>
              </w:rPr>
            </w:pPr>
            <w:r w:rsidRPr="00284E73">
              <w:rPr>
                <w:rFonts w:eastAsia="SimSun"/>
                <w:b/>
              </w:rPr>
              <w:t>LTE Band</w:t>
            </w:r>
          </w:p>
        </w:tc>
        <w:tc>
          <w:tcPr>
            <w:tcW w:w="1260" w:type="dxa"/>
          </w:tcPr>
          <w:p w:rsidR="009B7C09" w:rsidRPr="00284E73" w:rsidRDefault="009B7C09" w:rsidP="00284E73">
            <w:pPr>
              <w:jc w:val="center"/>
              <w:rPr>
                <w:rFonts w:eastAsia="SimSun"/>
                <w:b/>
              </w:rPr>
            </w:pPr>
            <w:r w:rsidRPr="00284E73">
              <w:rPr>
                <w:rFonts w:eastAsia="SimSun"/>
                <w:b/>
              </w:rPr>
              <w:t>BT Mode</w:t>
            </w:r>
          </w:p>
        </w:tc>
        <w:tc>
          <w:tcPr>
            <w:tcW w:w="1980" w:type="dxa"/>
          </w:tcPr>
          <w:p w:rsidR="009B7C09" w:rsidRPr="00284E73" w:rsidRDefault="009B7C09" w:rsidP="00284E73">
            <w:pPr>
              <w:jc w:val="center"/>
              <w:rPr>
                <w:rFonts w:eastAsia="SimSun"/>
                <w:b/>
              </w:rPr>
            </w:pPr>
            <w:r w:rsidRPr="00284E73">
              <w:rPr>
                <w:rFonts w:eastAsia="SimSun"/>
                <w:b/>
              </w:rPr>
              <w:t>LTE UL denial (%)</w:t>
            </w:r>
          </w:p>
        </w:tc>
        <w:tc>
          <w:tcPr>
            <w:tcW w:w="1980" w:type="dxa"/>
          </w:tcPr>
          <w:p w:rsidR="009B7C09" w:rsidRPr="00284E73" w:rsidRDefault="009B7C09" w:rsidP="00284E73">
            <w:pPr>
              <w:jc w:val="center"/>
              <w:rPr>
                <w:rFonts w:eastAsia="SimSun"/>
                <w:b/>
              </w:rPr>
            </w:pPr>
            <w:r w:rsidRPr="00284E73">
              <w:rPr>
                <w:rFonts w:eastAsia="SimSun"/>
                <w:b/>
              </w:rPr>
              <w:t>LTE DL denial (%)</w:t>
            </w:r>
          </w:p>
        </w:tc>
      </w:tr>
      <w:tr w:rsidR="00284E73" w:rsidRPr="00284E73" w:rsidTr="00284E73">
        <w:trPr>
          <w:jc w:val="center"/>
        </w:trPr>
        <w:tc>
          <w:tcPr>
            <w:tcW w:w="1260" w:type="dxa"/>
          </w:tcPr>
          <w:p w:rsidR="009B7C09" w:rsidRPr="00284E73" w:rsidRDefault="009B7C09" w:rsidP="00284E73">
            <w:pPr>
              <w:jc w:val="center"/>
              <w:rPr>
                <w:rFonts w:eastAsia="SimSun"/>
              </w:rPr>
            </w:pPr>
            <w:r w:rsidRPr="00284E73">
              <w:rPr>
                <w:rFonts w:eastAsia="SimSun"/>
              </w:rPr>
              <w:t>B40</w:t>
            </w:r>
          </w:p>
        </w:tc>
        <w:tc>
          <w:tcPr>
            <w:tcW w:w="1260" w:type="dxa"/>
          </w:tcPr>
          <w:p w:rsidR="009B7C09" w:rsidRPr="00284E73" w:rsidRDefault="009B7C09" w:rsidP="00284E73">
            <w:pPr>
              <w:jc w:val="center"/>
              <w:rPr>
                <w:rFonts w:eastAsia="SimSun"/>
              </w:rPr>
            </w:pPr>
            <w:r w:rsidRPr="00284E73">
              <w:rPr>
                <w:rFonts w:eastAsia="SimSun"/>
              </w:rPr>
              <w:t>Slave</w:t>
            </w:r>
          </w:p>
        </w:tc>
        <w:tc>
          <w:tcPr>
            <w:tcW w:w="1980" w:type="dxa"/>
          </w:tcPr>
          <w:p w:rsidR="009B7C09" w:rsidRPr="00284E73" w:rsidRDefault="009B7C09" w:rsidP="000B27AA">
            <w:pPr>
              <w:jc w:val="center"/>
              <w:rPr>
                <w:rFonts w:eastAsia="SimSun"/>
              </w:rPr>
            </w:pPr>
            <w:r w:rsidRPr="00284E73">
              <w:rPr>
                <w:rFonts w:eastAsia="SimSun"/>
              </w:rPr>
              <w:t>1</w:t>
            </w:r>
          </w:p>
        </w:tc>
        <w:tc>
          <w:tcPr>
            <w:tcW w:w="1980" w:type="dxa"/>
          </w:tcPr>
          <w:p w:rsidR="009B7C09" w:rsidRPr="00284E73" w:rsidRDefault="009B7C09" w:rsidP="000B27AA">
            <w:pPr>
              <w:jc w:val="center"/>
              <w:rPr>
                <w:rFonts w:eastAsia="SimSun"/>
              </w:rPr>
            </w:pPr>
            <w:r w:rsidRPr="00284E73">
              <w:rPr>
                <w:rFonts w:eastAsia="SimSun"/>
              </w:rPr>
              <w:t>2</w:t>
            </w:r>
            <w:r w:rsidR="000F4330">
              <w:rPr>
                <w:rFonts w:eastAsia="SimSun"/>
              </w:rPr>
              <w:t>6</w:t>
            </w:r>
          </w:p>
        </w:tc>
      </w:tr>
      <w:tr w:rsidR="00284E73" w:rsidRPr="00284E73" w:rsidTr="00284E73">
        <w:trPr>
          <w:jc w:val="center"/>
        </w:trPr>
        <w:tc>
          <w:tcPr>
            <w:tcW w:w="1260" w:type="dxa"/>
          </w:tcPr>
          <w:p w:rsidR="009B7C09" w:rsidRPr="00284E73" w:rsidRDefault="009B7C09" w:rsidP="00284E73">
            <w:pPr>
              <w:jc w:val="center"/>
              <w:rPr>
                <w:rFonts w:eastAsia="SimSun"/>
              </w:rPr>
            </w:pPr>
            <w:r w:rsidRPr="00284E73">
              <w:rPr>
                <w:rFonts w:eastAsia="SimSun"/>
              </w:rPr>
              <w:t>B7</w:t>
            </w:r>
          </w:p>
        </w:tc>
        <w:tc>
          <w:tcPr>
            <w:tcW w:w="1260" w:type="dxa"/>
          </w:tcPr>
          <w:p w:rsidR="009B7C09" w:rsidRPr="00284E73" w:rsidRDefault="009B7C09" w:rsidP="00284E73">
            <w:pPr>
              <w:jc w:val="center"/>
              <w:rPr>
                <w:rFonts w:eastAsia="SimSun"/>
              </w:rPr>
            </w:pPr>
            <w:r w:rsidRPr="00284E73">
              <w:rPr>
                <w:rFonts w:eastAsia="SimSun"/>
              </w:rPr>
              <w:t>Slave</w:t>
            </w:r>
          </w:p>
        </w:tc>
        <w:tc>
          <w:tcPr>
            <w:tcW w:w="1980" w:type="dxa"/>
          </w:tcPr>
          <w:p w:rsidR="009B7C09" w:rsidRPr="00284E73" w:rsidRDefault="009B7C09" w:rsidP="00284E73">
            <w:pPr>
              <w:jc w:val="center"/>
              <w:rPr>
                <w:rFonts w:eastAsia="SimSun"/>
              </w:rPr>
            </w:pPr>
            <w:r w:rsidRPr="00284E73">
              <w:rPr>
                <w:rFonts w:eastAsia="SimSun"/>
              </w:rPr>
              <w:t>2</w:t>
            </w:r>
            <w:r w:rsidR="000F4330">
              <w:rPr>
                <w:rFonts w:eastAsia="SimSun"/>
              </w:rPr>
              <w:t>7</w:t>
            </w:r>
          </w:p>
        </w:tc>
        <w:tc>
          <w:tcPr>
            <w:tcW w:w="1980" w:type="dxa"/>
          </w:tcPr>
          <w:p w:rsidR="009B7C09" w:rsidRPr="00284E73" w:rsidRDefault="009B7C09" w:rsidP="00284E73">
            <w:pPr>
              <w:jc w:val="center"/>
              <w:rPr>
                <w:rFonts w:eastAsia="SimSun"/>
              </w:rPr>
            </w:pPr>
            <w:r w:rsidRPr="00284E73">
              <w:rPr>
                <w:rFonts w:eastAsia="SimSun"/>
              </w:rPr>
              <w:t>0</w:t>
            </w:r>
          </w:p>
        </w:tc>
      </w:tr>
      <w:tr w:rsidR="00284E73" w:rsidRPr="00284E73" w:rsidTr="00284E73">
        <w:trPr>
          <w:jc w:val="center"/>
        </w:trPr>
        <w:tc>
          <w:tcPr>
            <w:tcW w:w="1260" w:type="dxa"/>
          </w:tcPr>
          <w:p w:rsidR="009B7C09" w:rsidRPr="00284E73" w:rsidRDefault="009B7C09" w:rsidP="00284E73">
            <w:pPr>
              <w:jc w:val="center"/>
              <w:rPr>
                <w:rFonts w:eastAsia="SimSun"/>
              </w:rPr>
            </w:pPr>
            <w:r w:rsidRPr="00284E73">
              <w:rPr>
                <w:rFonts w:eastAsia="SimSun"/>
              </w:rPr>
              <w:t>B7</w:t>
            </w:r>
          </w:p>
        </w:tc>
        <w:tc>
          <w:tcPr>
            <w:tcW w:w="1260" w:type="dxa"/>
          </w:tcPr>
          <w:p w:rsidR="009B7C09" w:rsidRPr="00284E73" w:rsidRDefault="009B7C09" w:rsidP="00284E73">
            <w:pPr>
              <w:jc w:val="center"/>
              <w:rPr>
                <w:rFonts w:eastAsia="SimSun"/>
              </w:rPr>
            </w:pPr>
            <w:r w:rsidRPr="00284E73">
              <w:rPr>
                <w:rFonts w:eastAsia="SimSun"/>
              </w:rPr>
              <w:t>Master</w:t>
            </w:r>
          </w:p>
        </w:tc>
        <w:tc>
          <w:tcPr>
            <w:tcW w:w="1980" w:type="dxa"/>
          </w:tcPr>
          <w:p w:rsidR="009B7C09" w:rsidRPr="00284E73" w:rsidRDefault="009B7C09" w:rsidP="000B27AA">
            <w:pPr>
              <w:jc w:val="center"/>
              <w:rPr>
                <w:rFonts w:eastAsia="SimSun"/>
              </w:rPr>
            </w:pPr>
            <w:r w:rsidRPr="00284E73">
              <w:rPr>
                <w:rFonts w:eastAsia="SimSun"/>
              </w:rPr>
              <w:t>2</w:t>
            </w:r>
            <w:r w:rsidR="000F4330">
              <w:rPr>
                <w:rFonts w:eastAsia="SimSun"/>
              </w:rPr>
              <w:t>7</w:t>
            </w:r>
          </w:p>
        </w:tc>
        <w:tc>
          <w:tcPr>
            <w:tcW w:w="1980" w:type="dxa"/>
          </w:tcPr>
          <w:p w:rsidR="009B7C09" w:rsidRPr="00284E73" w:rsidRDefault="009B7C09" w:rsidP="00284E73">
            <w:pPr>
              <w:jc w:val="center"/>
              <w:rPr>
                <w:rFonts w:eastAsia="SimSun"/>
              </w:rPr>
            </w:pPr>
            <w:r w:rsidRPr="00284E73">
              <w:rPr>
                <w:rFonts w:eastAsia="SimSun"/>
              </w:rPr>
              <w:t>0</w:t>
            </w:r>
          </w:p>
        </w:tc>
      </w:tr>
    </w:tbl>
    <w:p w:rsidR="00FB7C4F" w:rsidRDefault="00FB7C4F" w:rsidP="00FB7C4F">
      <w:pPr>
        <w:rPr>
          <w:rFonts w:eastAsia="SimSun"/>
        </w:rPr>
      </w:pPr>
    </w:p>
    <w:p w:rsidR="002132C6" w:rsidRDefault="002132C6" w:rsidP="00FB7C4F">
      <w:pPr>
        <w:rPr>
          <w:rFonts w:eastAsia="SimSun"/>
          <w:sz w:val="21"/>
          <w:szCs w:val="21"/>
          <w:lang w:val="en-US" w:eastAsia="zh-CN"/>
        </w:rPr>
      </w:pPr>
      <w:r>
        <w:rPr>
          <w:rFonts w:eastAsia="SimSun"/>
          <w:sz w:val="21"/>
          <w:szCs w:val="21"/>
          <w:lang w:val="en-US" w:eastAsia="zh-CN"/>
        </w:rPr>
        <w:t>T</w:t>
      </w:r>
      <w:r w:rsidRPr="002D5E8D">
        <w:rPr>
          <w:rFonts w:eastAsia="SimSun"/>
          <w:sz w:val="21"/>
          <w:szCs w:val="21"/>
          <w:lang w:val="en-US" w:eastAsia="zh-CN"/>
        </w:rPr>
        <w:t>he distribution</w:t>
      </w:r>
      <w:r>
        <w:rPr>
          <w:rFonts w:eastAsia="SimSun"/>
          <w:sz w:val="21"/>
          <w:szCs w:val="21"/>
          <w:lang w:val="en-US" w:eastAsia="zh-CN"/>
        </w:rPr>
        <w:t xml:space="preserve"> of the denial rates would </w:t>
      </w:r>
      <w:r w:rsidRPr="002D5E8D">
        <w:rPr>
          <w:rFonts w:eastAsia="SimSun"/>
          <w:sz w:val="21"/>
          <w:szCs w:val="21"/>
          <w:lang w:val="en-US" w:eastAsia="zh-CN"/>
        </w:rPr>
        <w:t xml:space="preserve">be </w:t>
      </w:r>
      <w:r>
        <w:rPr>
          <w:rFonts w:eastAsia="SimSun"/>
          <w:sz w:val="21"/>
          <w:szCs w:val="21"/>
          <w:lang w:val="en-US" w:eastAsia="zh-CN"/>
        </w:rPr>
        <w:t xml:space="preserve">also be </w:t>
      </w:r>
      <w:r w:rsidRPr="002D5E8D">
        <w:rPr>
          <w:rFonts w:eastAsia="SimSun"/>
          <w:sz w:val="21"/>
          <w:szCs w:val="21"/>
          <w:lang w:val="en-US" w:eastAsia="zh-CN"/>
        </w:rPr>
        <w:t>of interest in general, since the offset could stay relatively fixed if the BT clock</w:t>
      </w:r>
      <w:r>
        <w:rPr>
          <w:rFonts w:eastAsia="SimSun"/>
          <w:sz w:val="21"/>
          <w:szCs w:val="21"/>
          <w:lang w:val="en-US" w:eastAsia="zh-CN"/>
        </w:rPr>
        <w:t xml:space="preserve"> error relative to LTE is small and these are shown in </w:t>
      </w:r>
      <w:fldSimple w:instr=" REF _Ref285445138 \h  \* MERGEFORMAT ">
        <w:r w:rsidR="004115B6" w:rsidRPr="004115B6">
          <w:rPr>
            <w:rFonts w:eastAsia="SimSun"/>
            <w:sz w:val="21"/>
            <w:szCs w:val="21"/>
            <w:lang w:val="en-US" w:eastAsia="zh-CN"/>
          </w:rPr>
          <w:t>Figure 3</w:t>
        </w:r>
      </w:fldSimple>
      <w:r>
        <w:rPr>
          <w:rFonts w:eastAsia="SimSun"/>
          <w:sz w:val="21"/>
          <w:szCs w:val="21"/>
          <w:lang w:val="en-US" w:eastAsia="zh-CN"/>
        </w:rPr>
        <w:t>. It can be seen that the sum of the UL and DL denial rates does not exceed 33% for Band 40, while there is no</w:t>
      </w:r>
      <w:r w:rsidR="00BB0192">
        <w:rPr>
          <w:rFonts w:eastAsia="SimSun"/>
          <w:sz w:val="21"/>
          <w:szCs w:val="21"/>
          <w:lang w:val="en-US" w:eastAsia="zh-CN"/>
        </w:rPr>
        <w:t xml:space="preserve"> spread around 27%  for Band 7. For Band 40, there are a set of offsets where there is no LTE denial – these correspond to offsets where the BT Rx/Tx overlap with LTE Rx/Tx respectively, and this is possible for a range of offsets since the BT events are assumed to occupy only 420 us within each 625 us slot. For Band 7, </w:t>
      </w:r>
      <w:r>
        <w:rPr>
          <w:rFonts w:eastAsia="SimSun"/>
          <w:sz w:val="21"/>
          <w:szCs w:val="21"/>
          <w:lang w:val="en-US" w:eastAsia="zh-CN"/>
        </w:rPr>
        <w:t>BT Tx can always be</w:t>
      </w:r>
      <w:r w:rsidR="00BB0192">
        <w:rPr>
          <w:rFonts w:eastAsia="SimSun"/>
          <w:sz w:val="21"/>
          <w:szCs w:val="21"/>
          <w:lang w:val="en-US" w:eastAsia="zh-CN"/>
        </w:rPr>
        <w:t xml:space="preserve"> allowed</w:t>
      </w:r>
      <w:r>
        <w:rPr>
          <w:rFonts w:eastAsia="SimSun"/>
          <w:sz w:val="21"/>
          <w:szCs w:val="21"/>
          <w:lang w:val="en-US" w:eastAsia="zh-CN"/>
        </w:rPr>
        <w:t xml:space="preserve">, hence the chosen eSCO sequence is the one where the Rx slot has interference from the least number of Tx subframes. The results show that, for any offset in Band 7, it is possible to find an Rx slot in each of the four eSCO intervals that has interference from only one of the LTE Tx subframes. Consequently, the denial rate is only 4 </w:t>
      </w:r>
      <w:r w:rsidR="00BB0192">
        <w:rPr>
          <w:rFonts w:eastAsia="SimSun"/>
          <w:sz w:val="21"/>
          <w:szCs w:val="21"/>
          <w:lang w:val="en-US" w:eastAsia="zh-CN"/>
        </w:rPr>
        <w:t>Tx sub</w:t>
      </w:r>
      <w:r w:rsidR="000F4330">
        <w:rPr>
          <w:rFonts w:eastAsia="SimSun"/>
          <w:sz w:val="21"/>
          <w:szCs w:val="21"/>
          <w:lang w:val="en-US" w:eastAsia="zh-CN"/>
        </w:rPr>
        <w:t>frames out of 15, which corresponds to the denial rate of</w:t>
      </w:r>
      <w:r w:rsidR="004115B6">
        <w:rPr>
          <w:rFonts w:eastAsia="SimSun"/>
          <w:sz w:val="21"/>
          <w:szCs w:val="21"/>
          <w:lang w:val="en-US" w:eastAsia="zh-CN"/>
        </w:rPr>
        <w:t xml:space="preserve"> about 2</w:t>
      </w:r>
      <w:r>
        <w:rPr>
          <w:rFonts w:eastAsia="SimSun"/>
          <w:sz w:val="21"/>
          <w:szCs w:val="21"/>
          <w:lang w:val="en-US" w:eastAsia="zh-CN"/>
        </w:rPr>
        <w:t>7%</w:t>
      </w:r>
    </w:p>
    <w:p w:rsidR="002132C6" w:rsidRDefault="00153E1B" w:rsidP="00FB7C4F">
      <w:pPr>
        <w:rPr>
          <w:rFonts w:eastAsia="SimSun"/>
          <w:sz w:val="21"/>
          <w:szCs w:val="21"/>
          <w:lang w:val="en-US" w:eastAsia="zh-CN"/>
        </w:rPr>
      </w:pPr>
      <w:r w:rsidRPr="00D252FA">
        <w:rPr>
          <w:rFonts w:eastAsia="SimSun"/>
          <w:sz w:val="21"/>
          <w:szCs w:val="21"/>
          <w:lang w:val="en-US" w:eastAsia="zh-CN"/>
        </w:rPr>
        <w:lastRenderedPageBreak/>
        <w:pict>
          <v:shape id="_x0000_i1027" type="#_x0000_t75" style="width:469.35pt;height:171.15pt">
            <v:imagedata r:id="rId23" o:title=""/>
          </v:shape>
        </w:pict>
      </w:r>
    </w:p>
    <w:p w:rsidR="002132C6" w:rsidRDefault="002132C6" w:rsidP="002132C6">
      <w:pPr>
        <w:pStyle w:val="Caption"/>
        <w:jc w:val="center"/>
        <w:rPr>
          <w:rFonts w:eastAsia="SimSun"/>
          <w:sz w:val="21"/>
          <w:szCs w:val="21"/>
          <w:lang w:val="en-US" w:eastAsia="zh-CN"/>
        </w:rPr>
      </w:pPr>
      <w:bookmarkStart w:id="8" w:name="_Ref285445138"/>
      <w:r>
        <w:t xml:space="preserve">Figure </w:t>
      </w:r>
      <w:fldSimple w:instr=" SEQ Figure \* ARABIC ">
        <w:r w:rsidR="004115B6">
          <w:rPr>
            <w:noProof/>
          </w:rPr>
          <w:t>3</w:t>
        </w:r>
      </w:fldSimple>
      <w:bookmarkEnd w:id="8"/>
      <w:r>
        <w:t>: Histograms of LTE denial rates</w:t>
      </w:r>
    </w:p>
    <w:p w:rsidR="00D67E68" w:rsidRDefault="0027409C" w:rsidP="002D5E8D">
      <w:pPr>
        <w:jc w:val="both"/>
        <w:rPr>
          <w:rFonts w:eastAsia="SimSun"/>
          <w:sz w:val="21"/>
          <w:szCs w:val="21"/>
          <w:lang w:val="en-US" w:eastAsia="zh-CN"/>
        </w:rPr>
      </w:pPr>
      <w:r>
        <w:rPr>
          <w:rFonts w:eastAsia="SimSun"/>
          <w:sz w:val="21"/>
          <w:szCs w:val="21"/>
          <w:lang w:val="en-US" w:eastAsia="zh-CN"/>
        </w:rPr>
        <w:t>Thu</w:t>
      </w:r>
      <w:r w:rsidR="00D67E68">
        <w:rPr>
          <w:rFonts w:eastAsia="SimSun"/>
          <w:sz w:val="21"/>
          <w:szCs w:val="21"/>
          <w:lang w:val="en-US" w:eastAsia="zh-CN"/>
        </w:rPr>
        <w:t>s, i</w:t>
      </w:r>
      <w:r w:rsidR="002132C6">
        <w:rPr>
          <w:rFonts w:eastAsia="SimSun"/>
          <w:sz w:val="21"/>
          <w:szCs w:val="21"/>
          <w:lang w:val="en-US" w:eastAsia="zh-CN"/>
        </w:rPr>
        <w:t xml:space="preserve">n all </w:t>
      </w:r>
      <w:r w:rsidR="009B7C09" w:rsidRPr="002D5E8D">
        <w:rPr>
          <w:rFonts w:eastAsia="SimSun"/>
          <w:sz w:val="21"/>
          <w:szCs w:val="21"/>
          <w:lang w:val="en-US" w:eastAsia="zh-CN"/>
        </w:rPr>
        <w:t xml:space="preserve">cases above, the </w:t>
      </w:r>
      <w:r w:rsidR="002132C6">
        <w:rPr>
          <w:rFonts w:eastAsia="SimSun"/>
          <w:sz w:val="21"/>
          <w:szCs w:val="21"/>
          <w:lang w:val="en-US" w:eastAsia="zh-CN"/>
        </w:rPr>
        <w:t>average</w:t>
      </w:r>
      <w:r w:rsidR="009B7C09" w:rsidRPr="002D5E8D">
        <w:rPr>
          <w:rFonts w:eastAsia="SimSun"/>
          <w:sz w:val="21"/>
          <w:szCs w:val="21"/>
          <w:lang w:val="en-US" w:eastAsia="zh-CN"/>
        </w:rPr>
        <w:t xml:space="preserve"> denial rate over UL and DL </w:t>
      </w:r>
      <w:r w:rsidR="002132C6">
        <w:rPr>
          <w:rFonts w:eastAsia="SimSun"/>
          <w:sz w:val="21"/>
          <w:szCs w:val="21"/>
          <w:lang w:val="en-US" w:eastAsia="zh-CN"/>
        </w:rPr>
        <w:t xml:space="preserve">together </w:t>
      </w:r>
      <w:r w:rsidR="009B7C09" w:rsidRPr="002D5E8D">
        <w:rPr>
          <w:rFonts w:eastAsia="SimSun"/>
          <w:sz w:val="21"/>
          <w:szCs w:val="21"/>
          <w:lang w:val="en-US" w:eastAsia="zh-CN"/>
        </w:rPr>
        <w:t xml:space="preserve">is </w:t>
      </w:r>
      <w:r w:rsidR="002132C6">
        <w:rPr>
          <w:rFonts w:eastAsia="SimSun"/>
          <w:sz w:val="21"/>
          <w:szCs w:val="21"/>
          <w:lang w:val="en-US" w:eastAsia="zh-CN"/>
        </w:rPr>
        <w:t xml:space="preserve">about </w:t>
      </w:r>
      <w:r w:rsidR="009B7C09" w:rsidRPr="002D5E8D">
        <w:rPr>
          <w:rFonts w:eastAsia="SimSun"/>
          <w:sz w:val="21"/>
          <w:szCs w:val="21"/>
          <w:lang w:val="en-US" w:eastAsia="zh-CN"/>
        </w:rPr>
        <w:t>27%</w:t>
      </w:r>
      <w:r w:rsidR="002132C6">
        <w:rPr>
          <w:rFonts w:eastAsia="SimSun"/>
          <w:sz w:val="21"/>
          <w:szCs w:val="21"/>
          <w:lang w:val="en-US" w:eastAsia="zh-CN"/>
        </w:rPr>
        <w:t>. However,</w:t>
      </w:r>
      <w:r w:rsidR="009B7C09" w:rsidRPr="002D5E8D">
        <w:rPr>
          <w:rFonts w:eastAsia="SimSun"/>
          <w:sz w:val="21"/>
          <w:szCs w:val="21"/>
          <w:lang w:val="en-US" w:eastAsia="zh-CN"/>
        </w:rPr>
        <w:t xml:space="preserve"> further measures are needed to limit the corresponding throughout loss. Specifically, if the eNB is informed about the intended denials, e.g. through feedback from the UE, the eNB can ensure that the rate loops do not reduce the rate due to these denials. </w:t>
      </w:r>
      <w:r w:rsidR="00F656C9" w:rsidRPr="002D5E8D">
        <w:rPr>
          <w:rFonts w:eastAsia="SimSun"/>
          <w:sz w:val="21"/>
          <w:szCs w:val="21"/>
          <w:lang w:val="en-US" w:eastAsia="zh-CN"/>
        </w:rPr>
        <w:t>Alternatively, the eNB with knowledge of the BT configuration</w:t>
      </w:r>
      <w:r w:rsidR="00685721" w:rsidRPr="002D5E8D">
        <w:rPr>
          <w:rFonts w:eastAsia="SimSun"/>
          <w:sz w:val="21"/>
          <w:szCs w:val="21"/>
          <w:lang w:val="en-US" w:eastAsia="zh-CN"/>
        </w:rPr>
        <w:t xml:space="preserve"> (i.e. knowledge that the UE is using BT in </w:t>
      </w:r>
      <w:r w:rsidR="005E12DA" w:rsidRPr="002D5E8D">
        <w:rPr>
          <w:rFonts w:eastAsia="SimSun"/>
          <w:sz w:val="21"/>
          <w:szCs w:val="21"/>
          <w:lang w:val="en-US" w:eastAsia="zh-CN"/>
        </w:rPr>
        <w:t xml:space="preserve">eSCO </w:t>
      </w:r>
      <w:r w:rsidR="00685721" w:rsidRPr="002D5E8D">
        <w:rPr>
          <w:rFonts w:eastAsia="SimSun"/>
          <w:sz w:val="21"/>
          <w:szCs w:val="21"/>
          <w:lang w:val="en-US" w:eastAsia="zh-CN"/>
        </w:rPr>
        <w:t>mode)</w:t>
      </w:r>
      <w:r w:rsidR="00F656C9" w:rsidRPr="002D5E8D">
        <w:rPr>
          <w:rFonts w:eastAsia="SimSun"/>
          <w:sz w:val="21"/>
          <w:szCs w:val="21"/>
          <w:lang w:val="en-US" w:eastAsia="zh-CN"/>
        </w:rPr>
        <w:t xml:space="preserve"> may be able to learn about the denials on its own given that the denial patterns </w:t>
      </w:r>
      <w:r w:rsidR="00685721" w:rsidRPr="002D5E8D">
        <w:rPr>
          <w:rFonts w:eastAsia="SimSun"/>
          <w:sz w:val="21"/>
          <w:szCs w:val="21"/>
          <w:lang w:val="en-US" w:eastAsia="zh-CN"/>
        </w:rPr>
        <w:t>will</w:t>
      </w:r>
      <w:r w:rsidR="00F656C9" w:rsidRPr="002D5E8D">
        <w:rPr>
          <w:rFonts w:eastAsia="SimSun"/>
          <w:sz w:val="21"/>
          <w:szCs w:val="21"/>
          <w:lang w:val="en-US" w:eastAsia="zh-CN"/>
        </w:rPr>
        <w:t xml:space="preserve"> be periodic</w:t>
      </w:r>
      <w:r w:rsidR="009B7C09" w:rsidRPr="002D5E8D">
        <w:rPr>
          <w:rFonts w:eastAsia="SimSun"/>
          <w:sz w:val="21"/>
          <w:szCs w:val="21"/>
          <w:lang w:val="en-US" w:eastAsia="zh-CN"/>
        </w:rPr>
        <w:t xml:space="preserve"> for a given offset</w:t>
      </w:r>
      <w:r w:rsidR="00F656C9" w:rsidRPr="002D5E8D">
        <w:rPr>
          <w:rFonts w:eastAsia="SimSun"/>
          <w:sz w:val="21"/>
          <w:szCs w:val="21"/>
          <w:lang w:val="en-US" w:eastAsia="zh-CN"/>
        </w:rPr>
        <w:t>.</w:t>
      </w:r>
      <w:r w:rsidR="007D2985" w:rsidRPr="002D5E8D">
        <w:rPr>
          <w:rFonts w:eastAsia="SimSun"/>
          <w:sz w:val="21"/>
          <w:szCs w:val="21"/>
          <w:lang w:val="en-US" w:eastAsia="zh-CN"/>
        </w:rPr>
        <w:t xml:space="preserve"> The eNB can then avoid </w:t>
      </w:r>
      <w:r w:rsidR="00D67E68">
        <w:rPr>
          <w:rFonts w:eastAsia="SimSun"/>
          <w:sz w:val="21"/>
          <w:szCs w:val="21"/>
          <w:lang w:val="en-US" w:eastAsia="zh-CN"/>
        </w:rPr>
        <w:t>reacting to these denials for rate prediction</w:t>
      </w:r>
      <w:r w:rsidR="007D2985" w:rsidRPr="002D5E8D">
        <w:rPr>
          <w:rFonts w:eastAsia="SimSun"/>
          <w:sz w:val="21"/>
          <w:szCs w:val="21"/>
          <w:lang w:val="en-US" w:eastAsia="zh-CN"/>
        </w:rPr>
        <w:t>.</w:t>
      </w:r>
      <w:r w:rsidR="00D67E68">
        <w:rPr>
          <w:rFonts w:eastAsia="SimSun"/>
          <w:sz w:val="21"/>
          <w:szCs w:val="21"/>
          <w:lang w:val="en-US" w:eastAsia="zh-CN"/>
        </w:rPr>
        <w:t xml:space="preserve"> </w:t>
      </w:r>
      <w:r w:rsidR="009B7C09" w:rsidRPr="002D5E8D">
        <w:rPr>
          <w:rFonts w:eastAsia="SimSun"/>
          <w:sz w:val="21"/>
          <w:szCs w:val="21"/>
          <w:lang w:val="en-US" w:eastAsia="zh-CN"/>
        </w:rPr>
        <w:t>With such measur</w:t>
      </w:r>
      <w:r w:rsidR="00D67E68">
        <w:rPr>
          <w:rFonts w:eastAsia="SimSun"/>
          <w:sz w:val="21"/>
          <w:szCs w:val="21"/>
          <w:lang w:val="en-US" w:eastAsia="zh-CN"/>
        </w:rPr>
        <w:t xml:space="preserve">es in place, </w:t>
      </w:r>
      <w:r w:rsidR="009B7C09" w:rsidRPr="002D5E8D">
        <w:rPr>
          <w:rFonts w:eastAsia="SimSun"/>
          <w:sz w:val="21"/>
          <w:szCs w:val="21"/>
          <w:lang w:val="en-US" w:eastAsia="zh-CN"/>
        </w:rPr>
        <w:t xml:space="preserve">autonomous denials can allow for a flexible and efficient way to support BT voice, and can be </w:t>
      </w:r>
      <w:r w:rsidR="00D67E68">
        <w:rPr>
          <w:rFonts w:eastAsia="SimSun"/>
          <w:sz w:val="21"/>
          <w:szCs w:val="21"/>
          <w:lang w:val="en-US" w:eastAsia="zh-CN"/>
        </w:rPr>
        <w:t xml:space="preserve">a </w:t>
      </w:r>
      <w:r w:rsidR="009B7C09" w:rsidRPr="002D5E8D">
        <w:rPr>
          <w:rFonts w:eastAsia="SimSun"/>
          <w:sz w:val="21"/>
          <w:szCs w:val="21"/>
          <w:lang w:val="en-US" w:eastAsia="zh-CN"/>
        </w:rPr>
        <w:t xml:space="preserve">viable alternative to schemes based on e.g. removal of HARQ processes at eNB. </w:t>
      </w:r>
    </w:p>
    <w:p w:rsidR="000B27AA" w:rsidRDefault="000B27AA" w:rsidP="002D5E8D">
      <w:pPr>
        <w:jc w:val="both"/>
        <w:rPr>
          <w:rFonts w:eastAsia="SimSun"/>
          <w:sz w:val="21"/>
          <w:szCs w:val="21"/>
          <w:lang w:val="en-US" w:eastAsia="zh-CN"/>
        </w:rPr>
      </w:pPr>
      <w:r>
        <w:rPr>
          <w:rFonts w:eastAsia="SimSun"/>
          <w:sz w:val="21"/>
          <w:szCs w:val="21"/>
          <w:lang w:val="en-US" w:eastAsia="zh-CN"/>
        </w:rPr>
        <w:t>On the other hand</w:t>
      </w:r>
      <w:r w:rsidR="00D67E68">
        <w:rPr>
          <w:rFonts w:eastAsia="SimSun"/>
          <w:sz w:val="21"/>
          <w:szCs w:val="21"/>
          <w:lang w:val="en-US" w:eastAsia="zh-CN"/>
        </w:rPr>
        <w:t xml:space="preserve">, </w:t>
      </w:r>
      <w:r>
        <w:rPr>
          <w:rFonts w:eastAsia="SimSun"/>
          <w:sz w:val="21"/>
          <w:szCs w:val="21"/>
          <w:lang w:val="en-US" w:eastAsia="zh-CN"/>
        </w:rPr>
        <w:t xml:space="preserve">even if the rate loops are stabilized, </w:t>
      </w:r>
      <w:r w:rsidR="00D67E68">
        <w:rPr>
          <w:rFonts w:eastAsia="SimSun"/>
          <w:sz w:val="21"/>
          <w:szCs w:val="21"/>
          <w:lang w:val="en-US" w:eastAsia="zh-CN"/>
        </w:rPr>
        <w:t xml:space="preserve">denials on the UL would also lead to denial of ACKs for DL packets, and denials on the DL would lead to denial of grants and ACKs for the UL packets. </w:t>
      </w:r>
      <w:r>
        <w:rPr>
          <w:rFonts w:eastAsia="SimSun"/>
          <w:sz w:val="21"/>
          <w:szCs w:val="21"/>
          <w:lang w:val="en-US" w:eastAsia="zh-CN"/>
        </w:rPr>
        <w:t xml:space="preserve">For Band 7, Since there is no interference to the DL that can impact UL grants/ACKs, the UL denial rate of 27% should also translate to a throughput loss of about 27% on the UL. However, this 27% denial rate would also lead to a loss of 27% of the DL ACKs and hence, a throughput loss of about 27% on the DL as well. Thus, in terms of throughput loss, we may expect a loss of 27% on both links. For Band 40, the denials are pre-dominantly on the DL. The middle DL subframe in </w:t>
      </w:r>
      <w:r w:rsidR="00D252FA">
        <w:rPr>
          <w:rFonts w:eastAsia="SimSun"/>
          <w:sz w:val="21"/>
          <w:szCs w:val="21"/>
          <w:lang w:val="en-US" w:eastAsia="zh-CN"/>
        </w:rPr>
        <w:fldChar w:fldCharType="begin"/>
      </w:r>
      <w:r>
        <w:rPr>
          <w:rFonts w:eastAsia="SimSun"/>
          <w:sz w:val="21"/>
          <w:szCs w:val="21"/>
          <w:lang w:val="en-US" w:eastAsia="zh-CN"/>
        </w:rPr>
        <w:instrText xml:space="preserve"> REF _Ref285109959 \h </w:instrText>
      </w:r>
      <w:r w:rsidR="00D252FA">
        <w:rPr>
          <w:rFonts w:eastAsia="SimSun"/>
          <w:sz w:val="21"/>
          <w:szCs w:val="21"/>
          <w:lang w:val="en-US" w:eastAsia="zh-CN"/>
        </w:rPr>
      </w:r>
      <w:r w:rsidR="00D252FA">
        <w:rPr>
          <w:rFonts w:eastAsia="SimSun"/>
          <w:sz w:val="21"/>
          <w:szCs w:val="21"/>
          <w:lang w:val="en-US" w:eastAsia="zh-CN"/>
        </w:rPr>
        <w:fldChar w:fldCharType="separate"/>
      </w:r>
      <w:r w:rsidR="004115B6">
        <w:t xml:space="preserve">Figure </w:t>
      </w:r>
      <w:r w:rsidR="004115B6">
        <w:rPr>
          <w:noProof/>
        </w:rPr>
        <w:t>1</w:t>
      </w:r>
      <w:r w:rsidR="00D252FA">
        <w:rPr>
          <w:rFonts w:eastAsia="SimSun"/>
          <w:sz w:val="21"/>
          <w:szCs w:val="21"/>
          <w:lang w:val="en-US" w:eastAsia="zh-CN"/>
        </w:rPr>
        <w:fldChar w:fldCharType="end"/>
      </w:r>
      <w:r>
        <w:rPr>
          <w:rFonts w:eastAsia="SimSun"/>
          <w:sz w:val="21"/>
          <w:szCs w:val="21"/>
          <w:lang w:val="en-US" w:eastAsia="zh-CN"/>
        </w:rPr>
        <w:t xml:space="preserve"> does not carry any grants/ACKS, but if the other two DL subframe are denied, it would lead to UL throughput loss as well.  The simulations indicate that the middle DL </w:t>
      </w:r>
      <w:r w:rsidR="00BB0192">
        <w:rPr>
          <w:rFonts w:eastAsia="SimSun"/>
          <w:sz w:val="21"/>
          <w:szCs w:val="21"/>
          <w:lang w:val="en-US" w:eastAsia="zh-CN"/>
        </w:rPr>
        <w:t>subframe</w:t>
      </w:r>
      <w:r>
        <w:rPr>
          <w:rFonts w:eastAsia="SimSun"/>
          <w:sz w:val="21"/>
          <w:szCs w:val="21"/>
          <w:lang w:val="en-US" w:eastAsia="zh-CN"/>
        </w:rPr>
        <w:t xml:space="preserve"> is denied for only 20% of the eSCO intervals over all offsets. If we assume that the remaining 80% of the denials result in twice the UL throughput loss (due to both grant and ACK being lost), the UL throughput loss is about 1.6 times the DL denial rate of 26%. Hence, the UL throughput loss is about 41.6%. </w:t>
      </w:r>
    </w:p>
    <w:p w:rsidR="000B27AA" w:rsidRDefault="000B27AA" w:rsidP="002D5E8D">
      <w:pPr>
        <w:jc w:val="both"/>
        <w:rPr>
          <w:rFonts w:eastAsia="SimSun"/>
          <w:sz w:val="21"/>
          <w:szCs w:val="21"/>
          <w:lang w:val="en-US" w:eastAsia="zh-CN"/>
        </w:rPr>
      </w:pPr>
      <w:r>
        <w:rPr>
          <w:rFonts w:eastAsia="SimSun"/>
          <w:sz w:val="21"/>
          <w:szCs w:val="21"/>
          <w:lang w:val="en-US" w:eastAsia="zh-CN"/>
        </w:rPr>
        <w:t xml:space="preserve">Finally, autonomous denials would lead to loss of network capacity since the resources are denied after they have been assigned to this UE and cannot be re-assigned to other users. Thus, while autonomous denials can lead to potentially lesser loss in peak throughput (compared to the schemed considered in [4]), there is an additional loss in network capacity. </w:t>
      </w:r>
    </w:p>
    <w:p w:rsidR="00533ADC" w:rsidRPr="002D5E8D" w:rsidRDefault="000B27AA" w:rsidP="002D5E8D">
      <w:pPr>
        <w:jc w:val="both"/>
        <w:rPr>
          <w:rFonts w:eastAsia="SimSun"/>
          <w:sz w:val="21"/>
          <w:szCs w:val="21"/>
          <w:lang w:val="en-US" w:eastAsia="zh-CN"/>
        </w:rPr>
      </w:pPr>
      <w:r>
        <w:rPr>
          <w:rFonts w:eastAsia="SimSun"/>
          <w:sz w:val="21"/>
          <w:szCs w:val="21"/>
          <w:lang w:val="en-US" w:eastAsia="zh-CN"/>
        </w:rPr>
        <w:t>The above factors should be considered when comparing autonomous denials to alternate schemes.</w:t>
      </w:r>
    </w:p>
    <w:p w:rsidR="00460136" w:rsidRDefault="009B7C09" w:rsidP="002D5E8D">
      <w:pPr>
        <w:jc w:val="both"/>
        <w:rPr>
          <w:rFonts w:eastAsia="SimSun"/>
          <w:b/>
          <w:sz w:val="21"/>
          <w:szCs w:val="21"/>
          <w:lang w:val="en-US" w:eastAsia="zh-CN"/>
        </w:rPr>
      </w:pPr>
      <w:r w:rsidRPr="002D5E8D">
        <w:rPr>
          <w:rFonts w:eastAsia="SimSun"/>
          <w:b/>
          <w:sz w:val="21"/>
          <w:szCs w:val="21"/>
          <w:lang w:val="en-US" w:eastAsia="zh-CN"/>
        </w:rPr>
        <w:t>Proposal 1</w:t>
      </w:r>
      <w:r w:rsidR="00460136" w:rsidRPr="002D5E8D">
        <w:rPr>
          <w:rFonts w:eastAsia="SimSun"/>
          <w:b/>
          <w:sz w:val="21"/>
          <w:szCs w:val="21"/>
          <w:lang w:val="en-US" w:eastAsia="zh-CN"/>
        </w:rPr>
        <w:t>:</w:t>
      </w:r>
      <w:r w:rsidRPr="002D5E8D">
        <w:rPr>
          <w:rFonts w:eastAsia="SimSun"/>
          <w:b/>
          <w:sz w:val="21"/>
          <w:szCs w:val="21"/>
          <w:lang w:val="en-US" w:eastAsia="zh-CN"/>
        </w:rPr>
        <w:t xml:space="preserve"> To support the BT voice case, schemes based </w:t>
      </w:r>
      <w:r w:rsidR="00D67E68">
        <w:rPr>
          <w:rFonts w:eastAsia="SimSun"/>
          <w:b/>
          <w:sz w:val="21"/>
          <w:szCs w:val="21"/>
          <w:lang w:val="en-US" w:eastAsia="zh-CN"/>
        </w:rPr>
        <w:t>on autonomous LTE denials can</w:t>
      </w:r>
      <w:r w:rsidRPr="002D5E8D">
        <w:rPr>
          <w:rFonts w:eastAsia="SimSun"/>
          <w:b/>
          <w:sz w:val="21"/>
          <w:szCs w:val="21"/>
          <w:lang w:val="en-US" w:eastAsia="zh-CN"/>
        </w:rPr>
        <w:t xml:space="preserve"> be considered and compared with other schemes based on eNB scheduler modifications.  </w:t>
      </w:r>
    </w:p>
    <w:p w:rsidR="004115B6" w:rsidRPr="002D5E8D" w:rsidRDefault="004115B6" w:rsidP="002D5E8D">
      <w:pPr>
        <w:jc w:val="both"/>
        <w:rPr>
          <w:rFonts w:eastAsia="SimSun"/>
          <w:b/>
          <w:sz w:val="21"/>
          <w:szCs w:val="21"/>
          <w:lang w:val="en-US" w:eastAsia="zh-CN"/>
        </w:rPr>
      </w:pPr>
    </w:p>
    <w:p w:rsidR="00A32875" w:rsidRDefault="00A32875" w:rsidP="00A63081">
      <w:pPr>
        <w:pStyle w:val="Heading1"/>
      </w:pPr>
      <w:r>
        <w:lastRenderedPageBreak/>
        <w:t>Conclusion</w:t>
      </w:r>
    </w:p>
    <w:p w:rsidR="00D65EB9" w:rsidRPr="002D5E8D" w:rsidRDefault="009B7C09" w:rsidP="002D5E8D">
      <w:pPr>
        <w:jc w:val="both"/>
        <w:rPr>
          <w:rFonts w:eastAsia="SimSun"/>
          <w:sz w:val="21"/>
          <w:szCs w:val="21"/>
          <w:lang w:val="en-US" w:eastAsia="zh-CN"/>
        </w:rPr>
      </w:pPr>
      <w:r w:rsidRPr="002D5E8D">
        <w:rPr>
          <w:rFonts w:eastAsia="SimSun"/>
          <w:sz w:val="21"/>
          <w:szCs w:val="21"/>
          <w:lang w:val="en-US" w:eastAsia="zh-CN"/>
        </w:rPr>
        <w:t>In this paper, we showed how autonomous LTE denials can be used to support the BT voice case while minimizing the LTE denial rate. We also provided representative results for the LTE denial rate over all frame offsets, for both B</w:t>
      </w:r>
      <w:r w:rsidR="00D67E68">
        <w:rPr>
          <w:rFonts w:eastAsia="SimSun"/>
          <w:sz w:val="21"/>
          <w:szCs w:val="21"/>
          <w:lang w:val="en-US" w:eastAsia="zh-CN"/>
        </w:rPr>
        <w:t xml:space="preserve">and </w:t>
      </w:r>
      <w:r w:rsidRPr="002D5E8D">
        <w:rPr>
          <w:rFonts w:eastAsia="SimSun"/>
          <w:sz w:val="21"/>
          <w:szCs w:val="21"/>
          <w:lang w:val="en-US" w:eastAsia="zh-CN"/>
        </w:rPr>
        <w:t>40 and B</w:t>
      </w:r>
      <w:r w:rsidR="00D67E68">
        <w:rPr>
          <w:rFonts w:eastAsia="SimSun"/>
          <w:sz w:val="21"/>
          <w:szCs w:val="21"/>
          <w:lang w:val="en-US" w:eastAsia="zh-CN"/>
        </w:rPr>
        <w:t xml:space="preserve">and </w:t>
      </w:r>
      <w:r w:rsidRPr="002D5E8D">
        <w:rPr>
          <w:rFonts w:eastAsia="SimSun"/>
          <w:sz w:val="21"/>
          <w:szCs w:val="21"/>
          <w:lang w:val="en-US" w:eastAsia="zh-CN"/>
        </w:rPr>
        <w:t xml:space="preserve">7.  </w:t>
      </w:r>
    </w:p>
    <w:p w:rsidR="00D65EB9" w:rsidRPr="002D5E8D" w:rsidRDefault="009B7C09" w:rsidP="002D5E8D">
      <w:pPr>
        <w:jc w:val="both"/>
        <w:rPr>
          <w:rFonts w:eastAsia="SimSun"/>
          <w:b/>
          <w:sz w:val="21"/>
          <w:szCs w:val="21"/>
          <w:lang w:val="en-US" w:eastAsia="zh-CN"/>
        </w:rPr>
      </w:pPr>
      <w:r w:rsidRPr="002D5E8D">
        <w:rPr>
          <w:rFonts w:eastAsia="SimSun"/>
          <w:b/>
          <w:sz w:val="21"/>
          <w:szCs w:val="21"/>
          <w:lang w:val="en-US" w:eastAsia="zh-CN"/>
        </w:rPr>
        <w:t xml:space="preserve">Proposal 1: To support the BT voice case, schemes based on autonomous LTE denials </w:t>
      </w:r>
      <w:r w:rsidR="00D67E68">
        <w:rPr>
          <w:rFonts w:eastAsia="SimSun"/>
          <w:b/>
          <w:sz w:val="21"/>
          <w:szCs w:val="21"/>
          <w:lang w:val="en-US" w:eastAsia="zh-CN"/>
        </w:rPr>
        <w:t>can</w:t>
      </w:r>
      <w:r w:rsidRPr="002D5E8D">
        <w:rPr>
          <w:rFonts w:eastAsia="SimSun"/>
          <w:b/>
          <w:sz w:val="21"/>
          <w:szCs w:val="21"/>
          <w:lang w:val="en-US" w:eastAsia="zh-CN"/>
        </w:rPr>
        <w:t xml:space="preserve"> be considered and compared with other schemes based on eNB scheduler modifications.</w:t>
      </w:r>
    </w:p>
    <w:p w:rsidR="000B3D68" w:rsidRPr="00043030" w:rsidRDefault="000B3D68" w:rsidP="00A63081">
      <w:pPr>
        <w:pStyle w:val="Heading1"/>
      </w:pPr>
      <w:r w:rsidRPr="00043030">
        <w:t>References</w:t>
      </w:r>
    </w:p>
    <w:p w:rsidR="00E24639" w:rsidRDefault="00F02F68" w:rsidP="0016155D">
      <w:pPr>
        <w:pStyle w:val="Referenceindisclosure"/>
        <w:numPr>
          <w:ilvl w:val="0"/>
          <w:numId w:val="2"/>
        </w:numPr>
        <w:spacing w:before="120"/>
        <w:rPr>
          <w:rFonts w:eastAsia="SimSun"/>
          <w:sz w:val="21"/>
          <w:szCs w:val="21"/>
          <w:lang w:eastAsia="zh-CN"/>
        </w:rPr>
      </w:pPr>
      <w:r>
        <w:rPr>
          <w:rFonts w:eastAsia="SimSun"/>
          <w:sz w:val="21"/>
          <w:szCs w:val="21"/>
          <w:lang w:eastAsia="zh-CN"/>
        </w:rPr>
        <w:t>R2</w:t>
      </w:r>
      <w:r w:rsidR="001E27E6">
        <w:rPr>
          <w:rFonts w:eastAsia="SimSun"/>
          <w:sz w:val="21"/>
          <w:szCs w:val="21"/>
          <w:lang w:eastAsia="zh-CN"/>
        </w:rPr>
        <w:t>-</w:t>
      </w:r>
      <w:r>
        <w:rPr>
          <w:rFonts w:eastAsia="SimSun"/>
          <w:sz w:val="21"/>
          <w:szCs w:val="21"/>
          <w:lang w:eastAsia="zh-CN"/>
        </w:rPr>
        <w:t>105214</w:t>
      </w:r>
      <w:r w:rsidR="00E24639">
        <w:rPr>
          <w:rFonts w:eastAsia="SimSun"/>
          <w:sz w:val="21"/>
          <w:szCs w:val="21"/>
          <w:lang w:eastAsia="zh-CN"/>
        </w:rPr>
        <w:t>,</w:t>
      </w:r>
      <w:r>
        <w:rPr>
          <w:rFonts w:eastAsia="SimSun"/>
          <w:sz w:val="21"/>
          <w:szCs w:val="21"/>
          <w:lang w:eastAsia="zh-CN"/>
        </w:rPr>
        <w:t>3GPP  TR 36.816 V</w:t>
      </w:r>
      <w:r w:rsidR="008C09D2">
        <w:rPr>
          <w:rFonts w:eastAsia="SimSun"/>
          <w:sz w:val="21"/>
          <w:szCs w:val="21"/>
          <w:lang w:eastAsia="zh-CN"/>
        </w:rPr>
        <w:t>er</w:t>
      </w:r>
      <w:r>
        <w:rPr>
          <w:rFonts w:eastAsia="SimSun"/>
          <w:sz w:val="21"/>
          <w:szCs w:val="21"/>
          <w:lang w:eastAsia="zh-CN"/>
        </w:rPr>
        <w:t xml:space="preserve"> 0.1.1</w:t>
      </w:r>
    </w:p>
    <w:p w:rsidR="00724B51" w:rsidRDefault="0097378D" w:rsidP="00724B51">
      <w:pPr>
        <w:pStyle w:val="Referenceindisclosure"/>
        <w:numPr>
          <w:ilvl w:val="0"/>
          <w:numId w:val="2"/>
        </w:numPr>
        <w:spacing w:before="120"/>
        <w:rPr>
          <w:rFonts w:eastAsia="SimSun"/>
          <w:sz w:val="21"/>
          <w:szCs w:val="21"/>
          <w:lang w:eastAsia="zh-CN"/>
        </w:rPr>
      </w:pPr>
      <w:r>
        <w:rPr>
          <w:rFonts w:eastAsia="SimSun"/>
          <w:sz w:val="21"/>
          <w:szCs w:val="21"/>
          <w:lang w:eastAsia="zh-CN"/>
        </w:rPr>
        <w:t>R2-</w:t>
      </w:r>
      <w:r w:rsidR="00724B51">
        <w:rPr>
          <w:rFonts w:eastAsia="SimSun"/>
          <w:sz w:val="21"/>
          <w:szCs w:val="21"/>
          <w:lang w:eastAsia="zh-CN"/>
        </w:rPr>
        <w:t>106343</w:t>
      </w:r>
      <w:r w:rsidR="00A54A86">
        <w:rPr>
          <w:rFonts w:eastAsia="SimSun"/>
          <w:sz w:val="21"/>
          <w:szCs w:val="21"/>
          <w:lang w:eastAsia="zh-CN"/>
        </w:rPr>
        <w:t>, “</w:t>
      </w:r>
      <w:r>
        <w:rPr>
          <w:rFonts w:eastAsia="SimSun"/>
          <w:sz w:val="21"/>
          <w:szCs w:val="21"/>
          <w:lang w:eastAsia="zh-CN"/>
        </w:rPr>
        <w:t>Solutions for B</w:t>
      </w:r>
      <w:r w:rsidR="00A54A86">
        <w:rPr>
          <w:rFonts w:eastAsia="SimSun"/>
          <w:sz w:val="21"/>
          <w:szCs w:val="21"/>
          <w:lang w:eastAsia="zh-CN"/>
        </w:rPr>
        <w:t xml:space="preserve">luetooth </w:t>
      </w:r>
      <w:r>
        <w:rPr>
          <w:rFonts w:eastAsia="SimSun"/>
          <w:sz w:val="21"/>
          <w:szCs w:val="21"/>
          <w:lang w:eastAsia="zh-CN"/>
        </w:rPr>
        <w:t xml:space="preserve">conversational </w:t>
      </w:r>
      <w:r w:rsidR="00A54A86">
        <w:rPr>
          <w:rFonts w:eastAsia="SimSun"/>
          <w:sz w:val="21"/>
          <w:szCs w:val="21"/>
          <w:lang w:eastAsia="zh-CN"/>
        </w:rPr>
        <w:t>voice”, Qualcomm</w:t>
      </w:r>
      <w:r w:rsidR="00A52B44">
        <w:rPr>
          <w:rFonts w:eastAsia="SimSun"/>
          <w:sz w:val="21"/>
          <w:szCs w:val="21"/>
          <w:lang w:eastAsia="zh-CN"/>
        </w:rPr>
        <w:t xml:space="preserve"> </w:t>
      </w:r>
      <w:r w:rsidR="00D65EB9">
        <w:rPr>
          <w:rFonts w:eastAsia="SimSun"/>
          <w:sz w:val="21"/>
          <w:szCs w:val="21"/>
          <w:lang w:eastAsia="zh-CN"/>
        </w:rPr>
        <w:t xml:space="preserve"> Incorporated</w:t>
      </w:r>
    </w:p>
    <w:p w:rsidR="005C094E" w:rsidRDefault="00935A76" w:rsidP="0016155D">
      <w:pPr>
        <w:pStyle w:val="Referenceindisclosure"/>
        <w:numPr>
          <w:ilvl w:val="0"/>
          <w:numId w:val="2"/>
        </w:numPr>
        <w:spacing w:before="120"/>
        <w:rPr>
          <w:rFonts w:eastAsia="SimSun"/>
          <w:sz w:val="21"/>
          <w:szCs w:val="21"/>
          <w:lang w:eastAsia="zh-CN"/>
        </w:rPr>
      </w:pPr>
      <w:r>
        <w:rPr>
          <w:rFonts w:eastAsia="SimSun"/>
          <w:sz w:val="21"/>
          <w:szCs w:val="21"/>
          <w:lang w:eastAsia="zh-CN"/>
        </w:rPr>
        <w:t>R2-110477</w:t>
      </w:r>
      <w:r w:rsidR="00A54A86">
        <w:rPr>
          <w:rFonts w:eastAsia="SimSun"/>
          <w:sz w:val="21"/>
          <w:szCs w:val="21"/>
          <w:lang w:eastAsia="zh-CN"/>
        </w:rPr>
        <w:t>, “</w:t>
      </w:r>
      <w:r w:rsidRPr="00935A76">
        <w:rPr>
          <w:rFonts w:eastAsia="SimSun"/>
          <w:sz w:val="21"/>
          <w:szCs w:val="21"/>
          <w:lang w:eastAsia="zh-CN"/>
        </w:rPr>
        <w:t>Scenarios for LTE-ISM coexistence with LTE denial based solutions</w:t>
      </w:r>
      <w:r w:rsidR="00A54A86">
        <w:rPr>
          <w:rFonts w:eastAsia="SimSun"/>
          <w:sz w:val="21"/>
          <w:szCs w:val="21"/>
          <w:lang w:eastAsia="zh-CN"/>
        </w:rPr>
        <w:t>”, Qualcomm</w:t>
      </w:r>
      <w:r w:rsidR="00D65EB9">
        <w:rPr>
          <w:rFonts w:eastAsia="SimSun"/>
          <w:sz w:val="21"/>
          <w:szCs w:val="21"/>
          <w:lang w:eastAsia="zh-CN"/>
        </w:rPr>
        <w:t xml:space="preserve"> Incorporated</w:t>
      </w:r>
    </w:p>
    <w:p w:rsidR="0067327E" w:rsidRPr="00D67E68" w:rsidRDefault="00167934" w:rsidP="00D67E68">
      <w:pPr>
        <w:pStyle w:val="Referenceindisclosure"/>
        <w:numPr>
          <w:ilvl w:val="0"/>
          <w:numId w:val="2"/>
        </w:numPr>
        <w:spacing w:before="120"/>
        <w:rPr>
          <w:rFonts w:eastAsia="SimSun"/>
          <w:sz w:val="21"/>
          <w:szCs w:val="21"/>
          <w:lang w:eastAsia="zh-CN"/>
        </w:rPr>
      </w:pPr>
      <w:r>
        <w:rPr>
          <w:rFonts w:eastAsia="SimSun"/>
          <w:sz w:val="21"/>
          <w:szCs w:val="21"/>
          <w:lang w:eastAsia="zh-CN"/>
        </w:rPr>
        <w:t>R2-11xxxx, “</w:t>
      </w:r>
      <w:r w:rsidRPr="00167934">
        <w:rPr>
          <w:rFonts w:eastAsia="SimSun"/>
          <w:sz w:val="21"/>
          <w:szCs w:val="21"/>
          <w:lang w:eastAsia="zh-CN"/>
        </w:rPr>
        <w:t>Selective HARQ based short-term gap patterns</w:t>
      </w:r>
      <w:r>
        <w:rPr>
          <w:rFonts w:eastAsia="SimSun"/>
          <w:sz w:val="21"/>
          <w:szCs w:val="21"/>
          <w:lang w:eastAsia="zh-CN"/>
        </w:rPr>
        <w:t>”. Qualcomm Incorporated</w:t>
      </w:r>
    </w:p>
    <w:sectPr w:rsidR="0067327E" w:rsidRPr="00D67E68" w:rsidSect="00B92FEC">
      <w:type w:val="continuous"/>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F82" w:rsidRDefault="00956F82">
      <w:r>
        <w:separator/>
      </w:r>
    </w:p>
  </w:endnote>
  <w:endnote w:type="continuationSeparator" w:id="0">
    <w:p w:rsidR="00956F82" w:rsidRDefault="00956F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F82" w:rsidRDefault="00956F82">
      <w:r>
        <w:separator/>
      </w:r>
    </w:p>
  </w:footnote>
  <w:footnote w:type="continuationSeparator" w:id="0">
    <w:p w:rsidR="00956F82" w:rsidRDefault="00956F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C1099C"/>
    <w:multiLevelType w:val="hybridMultilevel"/>
    <w:tmpl w:val="B4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115255"/>
    <w:multiLevelType w:val="hybridMultilevel"/>
    <w:tmpl w:val="56EC2C98"/>
    <w:lvl w:ilvl="0" w:tplc="5880C19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07718B"/>
    <w:multiLevelType w:val="hybridMultilevel"/>
    <w:tmpl w:val="48EC1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DF3A08"/>
    <w:multiLevelType w:val="hybridMultilevel"/>
    <w:tmpl w:val="F97A7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025BE2"/>
    <w:multiLevelType w:val="hybridMultilevel"/>
    <w:tmpl w:val="72B4FD1C"/>
    <w:lvl w:ilvl="0" w:tplc="0409000F">
      <w:start w:val="1"/>
      <w:numFmt w:val="decimal"/>
      <w:lvlText w:val="%1."/>
      <w:lvlJc w:val="left"/>
      <w:pPr>
        <w:ind w:left="764" w:hanging="360"/>
      </w:p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5">
    <w:nsid w:val="5A733A1F"/>
    <w:multiLevelType w:val="hybridMultilevel"/>
    <w:tmpl w:val="FDB83752"/>
    <w:lvl w:ilvl="0" w:tplc="0EF655DA">
      <w:start w:val="1"/>
      <w:numFmt w:val="decimal"/>
      <w:lvlText w:val="[%1]."/>
      <w:lvlJc w:val="left"/>
      <w:pPr>
        <w:tabs>
          <w:tab w:val="num" w:pos="340"/>
        </w:tabs>
        <w:ind w:left="340" w:hanging="34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C940F4E"/>
    <w:multiLevelType w:val="multilevel"/>
    <w:tmpl w:val="D2F47CAC"/>
    <w:lvl w:ilvl="0">
      <w:start w:val="1"/>
      <w:numFmt w:val="decimal"/>
      <w:pStyle w:val="Heading1"/>
      <w:lvlText w:val="%1"/>
      <w:lvlJc w:val="left"/>
      <w:pPr>
        <w:tabs>
          <w:tab w:val="num" w:pos="0"/>
        </w:tabs>
        <w:ind w:left="1134" w:hanging="1134"/>
      </w:pPr>
      <w:rPr>
        <w:rFonts w:hint="default"/>
        <w:u w:val="none"/>
      </w:rPr>
    </w:lvl>
    <w:lvl w:ilvl="1">
      <w:start w:val="1"/>
      <w:numFmt w:val="decimal"/>
      <w:pStyle w:val="Heading2"/>
      <w:lvlText w:val="%1.%2"/>
      <w:lvlJc w:val="left"/>
      <w:pPr>
        <w:tabs>
          <w:tab w:val="num" w:pos="0"/>
        </w:tabs>
        <w:ind w:left="2495" w:hanging="2495"/>
      </w:pPr>
      <w:rPr>
        <w:rFonts w:ascii="Arial" w:hAnsi="Arial" w:cs="Arial" w:hint="default"/>
        <w:sz w:val="32"/>
        <w:szCs w:val="32"/>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0"/>
        </w:tabs>
        <w:ind w:left="2551" w:hanging="1304"/>
      </w:pPr>
      <w:rPr>
        <w:rFonts w:hint="default"/>
        <w:u w:val="none"/>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NotTrackMoves/>
  <w:defaultTabStop w:val="720"/>
  <w:characterSpacingControl w:val="doNotCompress"/>
  <w:hdrShapeDefaults>
    <o:shapedefaults v:ext="edit" spidmax="5837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4543"/>
    <w:rsid w:val="00000C48"/>
    <w:rsid w:val="00000ED7"/>
    <w:rsid w:val="00001513"/>
    <w:rsid w:val="000018EE"/>
    <w:rsid w:val="00002355"/>
    <w:rsid w:val="00003A99"/>
    <w:rsid w:val="000048D8"/>
    <w:rsid w:val="00004FBE"/>
    <w:rsid w:val="0000798C"/>
    <w:rsid w:val="00007D23"/>
    <w:rsid w:val="00007FD9"/>
    <w:rsid w:val="00010011"/>
    <w:rsid w:val="00011135"/>
    <w:rsid w:val="00012957"/>
    <w:rsid w:val="00013854"/>
    <w:rsid w:val="00014B3B"/>
    <w:rsid w:val="000150C9"/>
    <w:rsid w:val="00015497"/>
    <w:rsid w:val="000163B7"/>
    <w:rsid w:val="000172BC"/>
    <w:rsid w:val="0001755B"/>
    <w:rsid w:val="00020023"/>
    <w:rsid w:val="000205DC"/>
    <w:rsid w:val="0002069E"/>
    <w:rsid w:val="00021161"/>
    <w:rsid w:val="00022116"/>
    <w:rsid w:val="00022FD3"/>
    <w:rsid w:val="0002347B"/>
    <w:rsid w:val="000254F0"/>
    <w:rsid w:val="00026A47"/>
    <w:rsid w:val="000270E3"/>
    <w:rsid w:val="00030865"/>
    <w:rsid w:val="000308C4"/>
    <w:rsid w:val="0003150B"/>
    <w:rsid w:val="00032821"/>
    <w:rsid w:val="0003451E"/>
    <w:rsid w:val="000348D8"/>
    <w:rsid w:val="00035DC8"/>
    <w:rsid w:val="000373CB"/>
    <w:rsid w:val="00037F53"/>
    <w:rsid w:val="00045A99"/>
    <w:rsid w:val="00053353"/>
    <w:rsid w:val="00053A32"/>
    <w:rsid w:val="00053B97"/>
    <w:rsid w:val="0005421D"/>
    <w:rsid w:val="00054B5A"/>
    <w:rsid w:val="00055886"/>
    <w:rsid w:val="000559C8"/>
    <w:rsid w:val="00055A13"/>
    <w:rsid w:val="000578C1"/>
    <w:rsid w:val="000579E7"/>
    <w:rsid w:val="00060EE5"/>
    <w:rsid w:val="0006191C"/>
    <w:rsid w:val="00061990"/>
    <w:rsid w:val="00061BC5"/>
    <w:rsid w:val="00062ED8"/>
    <w:rsid w:val="00063A9F"/>
    <w:rsid w:val="000674AE"/>
    <w:rsid w:val="000674DF"/>
    <w:rsid w:val="00070823"/>
    <w:rsid w:val="00070E39"/>
    <w:rsid w:val="00071048"/>
    <w:rsid w:val="000712B9"/>
    <w:rsid w:val="0007147D"/>
    <w:rsid w:val="00071840"/>
    <w:rsid w:val="00071AEB"/>
    <w:rsid w:val="00072EE1"/>
    <w:rsid w:val="000745EC"/>
    <w:rsid w:val="0007747F"/>
    <w:rsid w:val="00077B5D"/>
    <w:rsid w:val="0008015F"/>
    <w:rsid w:val="000837CC"/>
    <w:rsid w:val="00083C80"/>
    <w:rsid w:val="00083F00"/>
    <w:rsid w:val="00083F8F"/>
    <w:rsid w:val="00085E5A"/>
    <w:rsid w:val="00086A8A"/>
    <w:rsid w:val="00090780"/>
    <w:rsid w:val="000909B7"/>
    <w:rsid w:val="000912D3"/>
    <w:rsid w:val="00091A0A"/>
    <w:rsid w:val="000940EE"/>
    <w:rsid w:val="00095D6A"/>
    <w:rsid w:val="00095EFF"/>
    <w:rsid w:val="00095FC5"/>
    <w:rsid w:val="0009609D"/>
    <w:rsid w:val="00096431"/>
    <w:rsid w:val="00096EB3"/>
    <w:rsid w:val="000A044A"/>
    <w:rsid w:val="000A3A91"/>
    <w:rsid w:val="000A43A1"/>
    <w:rsid w:val="000A53DC"/>
    <w:rsid w:val="000A56BC"/>
    <w:rsid w:val="000A5961"/>
    <w:rsid w:val="000A615F"/>
    <w:rsid w:val="000A7696"/>
    <w:rsid w:val="000A7972"/>
    <w:rsid w:val="000A7DD2"/>
    <w:rsid w:val="000B1D68"/>
    <w:rsid w:val="000B2012"/>
    <w:rsid w:val="000B27AA"/>
    <w:rsid w:val="000B3D68"/>
    <w:rsid w:val="000B3F96"/>
    <w:rsid w:val="000B633F"/>
    <w:rsid w:val="000B647A"/>
    <w:rsid w:val="000B6A18"/>
    <w:rsid w:val="000B7000"/>
    <w:rsid w:val="000B7EE0"/>
    <w:rsid w:val="000C0071"/>
    <w:rsid w:val="000C07E2"/>
    <w:rsid w:val="000C0D3B"/>
    <w:rsid w:val="000C0F34"/>
    <w:rsid w:val="000C1E15"/>
    <w:rsid w:val="000C2980"/>
    <w:rsid w:val="000C3DD0"/>
    <w:rsid w:val="000C49FA"/>
    <w:rsid w:val="000C6603"/>
    <w:rsid w:val="000D0B2E"/>
    <w:rsid w:val="000D1AF3"/>
    <w:rsid w:val="000D1FE1"/>
    <w:rsid w:val="000D26CE"/>
    <w:rsid w:val="000D3351"/>
    <w:rsid w:val="000D4C9A"/>
    <w:rsid w:val="000D58DD"/>
    <w:rsid w:val="000D640E"/>
    <w:rsid w:val="000E04D0"/>
    <w:rsid w:val="000E06B2"/>
    <w:rsid w:val="000E1E18"/>
    <w:rsid w:val="000E1FBF"/>
    <w:rsid w:val="000E21BF"/>
    <w:rsid w:val="000E3EEA"/>
    <w:rsid w:val="000E4151"/>
    <w:rsid w:val="000E4B09"/>
    <w:rsid w:val="000E4E15"/>
    <w:rsid w:val="000E56C1"/>
    <w:rsid w:val="000E7881"/>
    <w:rsid w:val="000E7F09"/>
    <w:rsid w:val="000E7F4D"/>
    <w:rsid w:val="000F0F5A"/>
    <w:rsid w:val="000F1311"/>
    <w:rsid w:val="000F2C0B"/>
    <w:rsid w:val="000F4330"/>
    <w:rsid w:val="000F61B8"/>
    <w:rsid w:val="000F6D90"/>
    <w:rsid w:val="00100769"/>
    <w:rsid w:val="00101089"/>
    <w:rsid w:val="00104033"/>
    <w:rsid w:val="00104E5B"/>
    <w:rsid w:val="00105AEB"/>
    <w:rsid w:val="0010614A"/>
    <w:rsid w:val="0010703A"/>
    <w:rsid w:val="001115CD"/>
    <w:rsid w:val="001132DB"/>
    <w:rsid w:val="00113CF4"/>
    <w:rsid w:val="00113E38"/>
    <w:rsid w:val="001142FA"/>
    <w:rsid w:val="00115937"/>
    <w:rsid w:val="00117720"/>
    <w:rsid w:val="0011776D"/>
    <w:rsid w:val="00120637"/>
    <w:rsid w:val="001213C0"/>
    <w:rsid w:val="001218F3"/>
    <w:rsid w:val="00121E9C"/>
    <w:rsid w:val="001235DF"/>
    <w:rsid w:val="00124F10"/>
    <w:rsid w:val="001254EF"/>
    <w:rsid w:val="00126979"/>
    <w:rsid w:val="00126A48"/>
    <w:rsid w:val="001270F4"/>
    <w:rsid w:val="00127837"/>
    <w:rsid w:val="001302D8"/>
    <w:rsid w:val="0013059B"/>
    <w:rsid w:val="00130896"/>
    <w:rsid w:val="00132443"/>
    <w:rsid w:val="00133D7B"/>
    <w:rsid w:val="001352D3"/>
    <w:rsid w:val="00137AF0"/>
    <w:rsid w:val="0014037A"/>
    <w:rsid w:val="00141BFE"/>
    <w:rsid w:val="00141C50"/>
    <w:rsid w:val="00142306"/>
    <w:rsid w:val="00142384"/>
    <w:rsid w:val="00142F20"/>
    <w:rsid w:val="001431AD"/>
    <w:rsid w:val="00143296"/>
    <w:rsid w:val="0014374B"/>
    <w:rsid w:val="00144C8A"/>
    <w:rsid w:val="00147126"/>
    <w:rsid w:val="001479C1"/>
    <w:rsid w:val="00150889"/>
    <w:rsid w:val="00150AAE"/>
    <w:rsid w:val="00151946"/>
    <w:rsid w:val="001530E6"/>
    <w:rsid w:val="00153C9F"/>
    <w:rsid w:val="00153E1B"/>
    <w:rsid w:val="00154955"/>
    <w:rsid w:val="0015550A"/>
    <w:rsid w:val="00155A29"/>
    <w:rsid w:val="00156649"/>
    <w:rsid w:val="00160585"/>
    <w:rsid w:val="00160932"/>
    <w:rsid w:val="0016155D"/>
    <w:rsid w:val="001616EC"/>
    <w:rsid w:val="00162247"/>
    <w:rsid w:val="00163EA6"/>
    <w:rsid w:val="00164D88"/>
    <w:rsid w:val="00165C9B"/>
    <w:rsid w:val="0016632B"/>
    <w:rsid w:val="00167934"/>
    <w:rsid w:val="00170966"/>
    <w:rsid w:val="001709A2"/>
    <w:rsid w:val="001712E5"/>
    <w:rsid w:val="001726D1"/>
    <w:rsid w:val="001732F3"/>
    <w:rsid w:val="001753EF"/>
    <w:rsid w:val="0017594F"/>
    <w:rsid w:val="0017743A"/>
    <w:rsid w:val="00180752"/>
    <w:rsid w:val="001808EB"/>
    <w:rsid w:val="00180C54"/>
    <w:rsid w:val="001819F6"/>
    <w:rsid w:val="001825F7"/>
    <w:rsid w:val="001845D3"/>
    <w:rsid w:val="00185C21"/>
    <w:rsid w:val="00185DD5"/>
    <w:rsid w:val="001863C9"/>
    <w:rsid w:val="001867D0"/>
    <w:rsid w:val="0018717D"/>
    <w:rsid w:val="001902A9"/>
    <w:rsid w:val="001918D2"/>
    <w:rsid w:val="0019536E"/>
    <w:rsid w:val="00196B15"/>
    <w:rsid w:val="001A03D4"/>
    <w:rsid w:val="001A09DF"/>
    <w:rsid w:val="001A1351"/>
    <w:rsid w:val="001A54F1"/>
    <w:rsid w:val="001A5C54"/>
    <w:rsid w:val="001A6B88"/>
    <w:rsid w:val="001A76D6"/>
    <w:rsid w:val="001B098B"/>
    <w:rsid w:val="001B0D11"/>
    <w:rsid w:val="001B10E2"/>
    <w:rsid w:val="001B155D"/>
    <w:rsid w:val="001B2F4A"/>
    <w:rsid w:val="001B3D40"/>
    <w:rsid w:val="001B404F"/>
    <w:rsid w:val="001B6C25"/>
    <w:rsid w:val="001B75CA"/>
    <w:rsid w:val="001B7E1D"/>
    <w:rsid w:val="001C0671"/>
    <w:rsid w:val="001C09C2"/>
    <w:rsid w:val="001C0BC3"/>
    <w:rsid w:val="001C1DF8"/>
    <w:rsid w:val="001C1E74"/>
    <w:rsid w:val="001C3AC6"/>
    <w:rsid w:val="001C3D7F"/>
    <w:rsid w:val="001C4951"/>
    <w:rsid w:val="001C69C2"/>
    <w:rsid w:val="001C6EC2"/>
    <w:rsid w:val="001C70E3"/>
    <w:rsid w:val="001D02D8"/>
    <w:rsid w:val="001D03C7"/>
    <w:rsid w:val="001D2F16"/>
    <w:rsid w:val="001D53F1"/>
    <w:rsid w:val="001D540E"/>
    <w:rsid w:val="001D5DBC"/>
    <w:rsid w:val="001D6B58"/>
    <w:rsid w:val="001E0E17"/>
    <w:rsid w:val="001E1495"/>
    <w:rsid w:val="001E163F"/>
    <w:rsid w:val="001E250D"/>
    <w:rsid w:val="001E27E6"/>
    <w:rsid w:val="001E30F0"/>
    <w:rsid w:val="001E38E2"/>
    <w:rsid w:val="001E3A7E"/>
    <w:rsid w:val="001E6392"/>
    <w:rsid w:val="001F06D8"/>
    <w:rsid w:val="001F0B0B"/>
    <w:rsid w:val="001F136E"/>
    <w:rsid w:val="001F1BF7"/>
    <w:rsid w:val="001F1D7E"/>
    <w:rsid w:val="001F1DC7"/>
    <w:rsid w:val="001F2272"/>
    <w:rsid w:val="001F43CD"/>
    <w:rsid w:val="001F4CA3"/>
    <w:rsid w:val="001F547F"/>
    <w:rsid w:val="001F5ECF"/>
    <w:rsid w:val="001F5FB9"/>
    <w:rsid w:val="001F6511"/>
    <w:rsid w:val="001F6B32"/>
    <w:rsid w:val="001F700E"/>
    <w:rsid w:val="00200AAA"/>
    <w:rsid w:val="00200AB0"/>
    <w:rsid w:val="00201E20"/>
    <w:rsid w:val="002023C0"/>
    <w:rsid w:val="00202442"/>
    <w:rsid w:val="002025AF"/>
    <w:rsid w:val="00202BDE"/>
    <w:rsid w:val="00202D26"/>
    <w:rsid w:val="00202FEF"/>
    <w:rsid w:val="00203E9B"/>
    <w:rsid w:val="00204680"/>
    <w:rsid w:val="00204D88"/>
    <w:rsid w:val="00204DCA"/>
    <w:rsid w:val="0020506C"/>
    <w:rsid w:val="002054B5"/>
    <w:rsid w:val="002059A2"/>
    <w:rsid w:val="00206676"/>
    <w:rsid w:val="002067A8"/>
    <w:rsid w:val="00211894"/>
    <w:rsid w:val="00212B45"/>
    <w:rsid w:val="002132C6"/>
    <w:rsid w:val="00214419"/>
    <w:rsid w:val="002147CE"/>
    <w:rsid w:val="00215BA5"/>
    <w:rsid w:val="00216668"/>
    <w:rsid w:val="00217538"/>
    <w:rsid w:val="002203D4"/>
    <w:rsid w:val="0022111F"/>
    <w:rsid w:val="00221592"/>
    <w:rsid w:val="00222285"/>
    <w:rsid w:val="002225C9"/>
    <w:rsid w:val="00222E58"/>
    <w:rsid w:val="00222E67"/>
    <w:rsid w:val="002236AE"/>
    <w:rsid w:val="002239AF"/>
    <w:rsid w:val="00223EDA"/>
    <w:rsid w:val="00224862"/>
    <w:rsid w:val="00225F51"/>
    <w:rsid w:val="00226A47"/>
    <w:rsid w:val="002307F5"/>
    <w:rsid w:val="0023150A"/>
    <w:rsid w:val="00231D4B"/>
    <w:rsid w:val="00231F52"/>
    <w:rsid w:val="00232480"/>
    <w:rsid w:val="00233A51"/>
    <w:rsid w:val="002356A2"/>
    <w:rsid w:val="00236338"/>
    <w:rsid w:val="00240887"/>
    <w:rsid w:val="00241A47"/>
    <w:rsid w:val="00242342"/>
    <w:rsid w:val="0024282A"/>
    <w:rsid w:val="00243A57"/>
    <w:rsid w:val="002449E9"/>
    <w:rsid w:val="00245D5E"/>
    <w:rsid w:val="002467E7"/>
    <w:rsid w:val="002470A8"/>
    <w:rsid w:val="00250421"/>
    <w:rsid w:val="0025042B"/>
    <w:rsid w:val="00250A18"/>
    <w:rsid w:val="002516C5"/>
    <w:rsid w:val="00254A6E"/>
    <w:rsid w:val="00255ABD"/>
    <w:rsid w:val="00256F0E"/>
    <w:rsid w:val="00260D11"/>
    <w:rsid w:val="00261316"/>
    <w:rsid w:val="00261523"/>
    <w:rsid w:val="00261A03"/>
    <w:rsid w:val="00263626"/>
    <w:rsid w:val="00263D97"/>
    <w:rsid w:val="0026405C"/>
    <w:rsid w:val="00264182"/>
    <w:rsid w:val="0026450C"/>
    <w:rsid w:val="00264530"/>
    <w:rsid w:val="00264ADD"/>
    <w:rsid w:val="00267B45"/>
    <w:rsid w:val="00270100"/>
    <w:rsid w:val="0027242F"/>
    <w:rsid w:val="002725BB"/>
    <w:rsid w:val="002725C9"/>
    <w:rsid w:val="002731A9"/>
    <w:rsid w:val="0027349C"/>
    <w:rsid w:val="002735B9"/>
    <w:rsid w:val="0027409C"/>
    <w:rsid w:val="00274C00"/>
    <w:rsid w:val="0027656E"/>
    <w:rsid w:val="00280365"/>
    <w:rsid w:val="002818F7"/>
    <w:rsid w:val="0028423B"/>
    <w:rsid w:val="00284E34"/>
    <w:rsid w:val="00284E73"/>
    <w:rsid w:val="00286107"/>
    <w:rsid w:val="00287E51"/>
    <w:rsid w:val="002906C6"/>
    <w:rsid w:val="00290D3D"/>
    <w:rsid w:val="002911FB"/>
    <w:rsid w:val="00292F54"/>
    <w:rsid w:val="002938BF"/>
    <w:rsid w:val="00293DCC"/>
    <w:rsid w:val="00293EEC"/>
    <w:rsid w:val="00293F3D"/>
    <w:rsid w:val="00295304"/>
    <w:rsid w:val="00295386"/>
    <w:rsid w:val="00296567"/>
    <w:rsid w:val="002974E0"/>
    <w:rsid w:val="002A06B6"/>
    <w:rsid w:val="002A137E"/>
    <w:rsid w:val="002A1834"/>
    <w:rsid w:val="002A1CBC"/>
    <w:rsid w:val="002A2170"/>
    <w:rsid w:val="002A3B94"/>
    <w:rsid w:val="002A3CCB"/>
    <w:rsid w:val="002A43AA"/>
    <w:rsid w:val="002A65BF"/>
    <w:rsid w:val="002A6800"/>
    <w:rsid w:val="002B08E4"/>
    <w:rsid w:val="002B0CC0"/>
    <w:rsid w:val="002B0F95"/>
    <w:rsid w:val="002B1030"/>
    <w:rsid w:val="002B1EE4"/>
    <w:rsid w:val="002B2F62"/>
    <w:rsid w:val="002B568A"/>
    <w:rsid w:val="002B58C2"/>
    <w:rsid w:val="002B625F"/>
    <w:rsid w:val="002B793E"/>
    <w:rsid w:val="002C037B"/>
    <w:rsid w:val="002C24D7"/>
    <w:rsid w:val="002C371D"/>
    <w:rsid w:val="002C3803"/>
    <w:rsid w:val="002C40B1"/>
    <w:rsid w:val="002C461C"/>
    <w:rsid w:val="002C46D5"/>
    <w:rsid w:val="002C4E19"/>
    <w:rsid w:val="002C517E"/>
    <w:rsid w:val="002C650C"/>
    <w:rsid w:val="002D192D"/>
    <w:rsid w:val="002D45B5"/>
    <w:rsid w:val="002D4DB1"/>
    <w:rsid w:val="002D4ED9"/>
    <w:rsid w:val="002D5D7A"/>
    <w:rsid w:val="002D5E8D"/>
    <w:rsid w:val="002D5F1F"/>
    <w:rsid w:val="002E0C79"/>
    <w:rsid w:val="002E0E72"/>
    <w:rsid w:val="002E11FC"/>
    <w:rsid w:val="002E229D"/>
    <w:rsid w:val="002E27E0"/>
    <w:rsid w:val="002E29C5"/>
    <w:rsid w:val="002E2FB9"/>
    <w:rsid w:val="002E3031"/>
    <w:rsid w:val="002E422B"/>
    <w:rsid w:val="002E6341"/>
    <w:rsid w:val="002E66C1"/>
    <w:rsid w:val="002E71E6"/>
    <w:rsid w:val="002F0EDF"/>
    <w:rsid w:val="002F149E"/>
    <w:rsid w:val="002F20C9"/>
    <w:rsid w:val="002F2F0C"/>
    <w:rsid w:val="002F3689"/>
    <w:rsid w:val="002F459E"/>
    <w:rsid w:val="002F4D61"/>
    <w:rsid w:val="002F7649"/>
    <w:rsid w:val="0030035E"/>
    <w:rsid w:val="003004C2"/>
    <w:rsid w:val="003004F0"/>
    <w:rsid w:val="00301F55"/>
    <w:rsid w:val="0030293D"/>
    <w:rsid w:val="00302C60"/>
    <w:rsid w:val="0030704C"/>
    <w:rsid w:val="003077B5"/>
    <w:rsid w:val="00310058"/>
    <w:rsid w:val="00311BA7"/>
    <w:rsid w:val="00311D01"/>
    <w:rsid w:val="00312BCE"/>
    <w:rsid w:val="00313BB4"/>
    <w:rsid w:val="003148DD"/>
    <w:rsid w:val="00314E89"/>
    <w:rsid w:val="00317860"/>
    <w:rsid w:val="0032013A"/>
    <w:rsid w:val="00320B96"/>
    <w:rsid w:val="00321830"/>
    <w:rsid w:val="00323261"/>
    <w:rsid w:val="003256B2"/>
    <w:rsid w:val="003258D3"/>
    <w:rsid w:val="00325921"/>
    <w:rsid w:val="00326253"/>
    <w:rsid w:val="00326567"/>
    <w:rsid w:val="00327908"/>
    <w:rsid w:val="003313D8"/>
    <w:rsid w:val="00331823"/>
    <w:rsid w:val="00333AD2"/>
    <w:rsid w:val="003355F1"/>
    <w:rsid w:val="0033585D"/>
    <w:rsid w:val="00335A9E"/>
    <w:rsid w:val="00336BDB"/>
    <w:rsid w:val="00340B71"/>
    <w:rsid w:val="00344143"/>
    <w:rsid w:val="00345EE6"/>
    <w:rsid w:val="003464C9"/>
    <w:rsid w:val="003474EE"/>
    <w:rsid w:val="00347EF5"/>
    <w:rsid w:val="00352407"/>
    <w:rsid w:val="00352529"/>
    <w:rsid w:val="00354C84"/>
    <w:rsid w:val="00355918"/>
    <w:rsid w:val="003565B3"/>
    <w:rsid w:val="003574AD"/>
    <w:rsid w:val="00357AB3"/>
    <w:rsid w:val="00360568"/>
    <w:rsid w:val="00360B79"/>
    <w:rsid w:val="00361936"/>
    <w:rsid w:val="00362DDD"/>
    <w:rsid w:val="00364801"/>
    <w:rsid w:val="003662EE"/>
    <w:rsid w:val="00366DDA"/>
    <w:rsid w:val="00367CA1"/>
    <w:rsid w:val="00367D9C"/>
    <w:rsid w:val="003709A2"/>
    <w:rsid w:val="00370B96"/>
    <w:rsid w:val="00370C5D"/>
    <w:rsid w:val="0037256B"/>
    <w:rsid w:val="0037357D"/>
    <w:rsid w:val="00373F89"/>
    <w:rsid w:val="003743E1"/>
    <w:rsid w:val="00375F66"/>
    <w:rsid w:val="00376D19"/>
    <w:rsid w:val="0038044A"/>
    <w:rsid w:val="00381289"/>
    <w:rsid w:val="003817BD"/>
    <w:rsid w:val="00382FAC"/>
    <w:rsid w:val="00386568"/>
    <w:rsid w:val="003869F4"/>
    <w:rsid w:val="00387F5C"/>
    <w:rsid w:val="00390564"/>
    <w:rsid w:val="00390946"/>
    <w:rsid w:val="00390CFC"/>
    <w:rsid w:val="00390EFA"/>
    <w:rsid w:val="00390FB5"/>
    <w:rsid w:val="00391E90"/>
    <w:rsid w:val="00393394"/>
    <w:rsid w:val="00393458"/>
    <w:rsid w:val="00396130"/>
    <w:rsid w:val="003A0E93"/>
    <w:rsid w:val="003A1DB5"/>
    <w:rsid w:val="003A3056"/>
    <w:rsid w:val="003A387C"/>
    <w:rsid w:val="003A3BD1"/>
    <w:rsid w:val="003A4130"/>
    <w:rsid w:val="003A492A"/>
    <w:rsid w:val="003A5565"/>
    <w:rsid w:val="003A5FEC"/>
    <w:rsid w:val="003A75EA"/>
    <w:rsid w:val="003A7EC7"/>
    <w:rsid w:val="003B0076"/>
    <w:rsid w:val="003B0C60"/>
    <w:rsid w:val="003B1959"/>
    <w:rsid w:val="003B2A20"/>
    <w:rsid w:val="003B431A"/>
    <w:rsid w:val="003B47F0"/>
    <w:rsid w:val="003B593B"/>
    <w:rsid w:val="003B6768"/>
    <w:rsid w:val="003B69F3"/>
    <w:rsid w:val="003B6C80"/>
    <w:rsid w:val="003B7EF8"/>
    <w:rsid w:val="003B7F0F"/>
    <w:rsid w:val="003B7FC8"/>
    <w:rsid w:val="003C0E14"/>
    <w:rsid w:val="003C0FB4"/>
    <w:rsid w:val="003C17AA"/>
    <w:rsid w:val="003C19E5"/>
    <w:rsid w:val="003C23FF"/>
    <w:rsid w:val="003C30FE"/>
    <w:rsid w:val="003C4CB5"/>
    <w:rsid w:val="003C5507"/>
    <w:rsid w:val="003C5CDA"/>
    <w:rsid w:val="003C663C"/>
    <w:rsid w:val="003C6B0E"/>
    <w:rsid w:val="003D1137"/>
    <w:rsid w:val="003D1CA7"/>
    <w:rsid w:val="003D24D1"/>
    <w:rsid w:val="003D3209"/>
    <w:rsid w:val="003D39C8"/>
    <w:rsid w:val="003D39F0"/>
    <w:rsid w:val="003D4954"/>
    <w:rsid w:val="003D4DB0"/>
    <w:rsid w:val="003D4E1D"/>
    <w:rsid w:val="003D59A9"/>
    <w:rsid w:val="003D74DF"/>
    <w:rsid w:val="003D7ACB"/>
    <w:rsid w:val="003E164A"/>
    <w:rsid w:val="003E1982"/>
    <w:rsid w:val="003E1A7A"/>
    <w:rsid w:val="003E6293"/>
    <w:rsid w:val="003F10DF"/>
    <w:rsid w:val="003F3531"/>
    <w:rsid w:val="003F3974"/>
    <w:rsid w:val="003F46D2"/>
    <w:rsid w:val="003F64B4"/>
    <w:rsid w:val="003F7BBC"/>
    <w:rsid w:val="00400196"/>
    <w:rsid w:val="004019A7"/>
    <w:rsid w:val="004028FD"/>
    <w:rsid w:val="004029D2"/>
    <w:rsid w:val="00402A69"/>
    <w:rsid w:val="0040419D"/>
    <w:rsid w:val="0040520E"/>
    <w:rsid w:val="004063FE"/>
    <w:rsid w:val="00407507"/>
    <w:rsid w:val="004076B5"/>
    <w:rsid w:val="004108C5"/>
    <w:rsid w:val="004114DF"/>
    <w:rsid w:val="004115B6"/>
    <w:rsid w:val="00412904"/>
    <w:rsid w:val="00412F4C"/>
    <w:rsid w:val="00415C85"/>
    <w:rsid w:val="00417F83"/>
    <w:rsid w:val="004201CF"/>
    <w:rsid w:val="00420F28"/>
    <w:rsid w:val="004214EB"/>
    <w:rsid w:val="0042150D"/>
    <w:rsid w:val="00421746"/>
    <w:rsid w:val="004226D2"/>
    <w:rsid w:val="00422840"/>
    <w:rsid w:val="00423B16"/>
    <w:rsid w:val="00424458"/>
    <w:rsid w:val="0042481A"/>
    <w:rsid w:val="00424ADF"/>
    <w:rsid w:val="00424D6F"/>
    <w:rsid w:val="00425D96"/>
    <w:rsid w:val="00425E0A"/>
    <w:rsid w:val="00427979"/>
    <w:rsid w:val="00427DF4"/>
    <w:rsid w:val="00431102"/>
    <w:rsid w:val="004312EA"/>
    <w:rsid w:val="00432703"/>
    <w:rsid w:val="00433D06"/>
    <w:rsid w:val="00435797"/>
    <w:rsid w:val="00441722"/>
    <w:rsid w:val="004424E0"/>
    <w:rsid w:val="004427F2"/>
    <w:rsid w:val="00443157"/>
    <w:rsid w:val="00444141"/>
    <w:rsid w:val="004442BC"/>
    <w:rsid w:val="00445237"/>
    <w:rsid w:val="00446557"/>
    <w:rsid w:val="00446F64"/>
    <w:rsid w:val="0044797C"/>
    <w:rsid w:val="00451AF7"/>
    <w:rsid w:val="00451DBC"/>
    <w:rsid w:val="004527B8"/>
    <w:rsid w:val="00453111"/>
    <w:rsid w:val="00453D68"/>
    <w:rsid w:val="00453DED"/>
    <w:rsid w:val="004558AB"/>
    <w:rsid w:val="004567CE"/>
    <w:rsid w:val="00457152"/>
    <w:rsid w:val="0045732F"/>
    <w:rsid w:val="00460136"/>
    <w:rsid w:val="0046096D"/>
    <w:rsid w:val="004611EF"/>
    <w:rsid w:val="004614F7"/>
    <w:rsid w:val="0046217A"/>
    <w:rsid w:val="00462EAE"/>
    <w:rsid w:val="00466061"/>
    <w:rsid w:val="00466C38"/>
    <w:rsid w:val="0047152A"/>
    <w:rsid w:val="00471F37"/>
    <w:rsid w:val="004727BA"/>
    <w:rsid w:val="004727DB"/>
    <w:rsid w:val="0047286F"/>
    <w:rsid w:val="00472EFD"/>
    <w:rsid w:val="00473ADC"/>
    <w:rsid w:val="00474582"/>
    <w:rsid w:val="0047796B"/>
    <w:rsid w:val="00480083"/>
    <w:rsid w:val="004809C7"/>
    <w:rsid w:val="00482711"/>
    <w:rsid w:val="00484478"/>
    <w:rsid w:val="00485802"/>
    <w:rsid w:val="004862AE"/>
    <w:rsid w:val="00487279"/>
    <w:rsid w:val="00487881"/>
    <w:rsid w:val="00487AAE"/>
    <w:rsid w:val="00491390"/>
    <w:rsid w:val="004918B0"/>
    <w:rsid w:val="004924F1"/>
    <w:rsid w:val="00493527"/>
    <w:rsid w:val="00493745"/>
    <w:rsid w:val="004A07BD"/>
    <w:rsid w:val="004A104D"/>
    <w:rsid w:val="004A2008"/>
    <w:rsid w:val="004A2383"/>
    <w:rsid w:val="004A3208"/>
    <w:rsid w:val="004B0D74"/>
    <w:rsid w:val="004B1F37"/>
    <w:rsid w:val="004B26F1"/>
    <w:rsid w:val="004B38EF"/>
    <w:rsid w:val="004B5285"/>
    <w:rsid w:val="004B7960"/>
    <w:rsid w:val="004C1D23"/>
    <w:rsid w:val="004C2E4E"/>
    <w:rsid w:val="004C34FE"/>
    <w:rsid w:val="004C6E93"/>
    <w:rsid w:val="004C7536"/>
    <w:rsid w:val="004C7FD0"/>
    <w:rsid w:val="004D1A09"/>
    <w:rsid w:val="004D2A17"/>
    <w:rsid w:val="004D45CA"/>
    <w:rsid w:val="004D4A6A"/>
    <w:rsid w:val="004D4A8E"/>
    <w:rsid w:val="004D4BD4"/>
    <w:rsid w:val="004D4FC2"/>
    <w:rsid w:val="004D5801"/>
    <w:rsid w:val="004D5CA1"/>
    <w:rsid w:val="004D5D4A"/>
    <w:rsid w:val="004D6516"/>
    <w:rsid w:val="004D77AB"/>
    <w:rsid w:val="004D7BD3"/>
    <w:rsid w:val="004E06E9"/>
    <w:rsid w:val="004E24B8"/>
    <w:rsid w:val="004E2792"/>
    <w:rsid w:val="004E6505"/>
    <w:rsid w:val="004E6618"/>
    <w:rsid w:val="004F030C"/>
    <w:rsid w:val="004F158B"/>
    <w:rsid w:val="004F18BA"/>
    <w:rsid w:val="004F1F59"/>
    <w:rsid w:val="004F252B"/>
    <w:rsid w:val="004F43DC"/>
    <w:rsid w:val="004F4BD9"/>
    <w:rsid w:val="004F55F6"/>
    <w:rsid w:val="004F56A8"/>
    <w:rsid w:val="004F7F46"/>
    <w:rsid w:val="00501F61"/>
    <w:rsid w:val="00502E52"/>
    <w:rsid w:val="00506C75"/>
    <w:rsid w:val="00506D46"/>
    <w:rsid w:val="00507879"/>
    <w:rsid w:val="00507BFD"/>
    <w:rsid w:val="005103F0"/>
    <w:rsid w:val="00510605"/>
    <w:rsid w:val="00513AA0"/>
    <w:rsid w:val="00514594"/>
    <w:rsid w:val="00514D47"/>
    <w:rsid w:val="005179E6"/>
    <w:rsid w:val="00517AB7"/>
    <w:rsid w:val="00520049"/>
    <w:rsid w:val="005205BE"/>
    <w:rsid w:val="00520C67"/>
    <w:rsid w:val="00521426"/>
    <w:rsid w:val="005214DA"/>
    <w:rsid w:val="00521B79"/>
    <w:rsid w:val="00522A26"/>
    <w:rsid w:val="00524543"/>
    <w:rsid w:val="005245C0"/>
    <w:rsid w:val="00525868"/>
    <w:rsid w:val="005267F2"/>
    <w:rsid w:val="00527899"/>
    <w:rsid w:val="00527D93"/>
    <w:rsid w:val="00533ADC"/>
    <w:rsid w:val="00534515"/>
    <w:rsid w:val="005345AE"/>
    <w:rsid w:val="00535CA8"/>
    <w:rsid w:val="0053682A"/>
    <w:rsid w:val="00536991"/>
    <w:rsid w:val="00537593"/>
    <w:rsid w:val="00537866"/>
    <w:rsid w:val="00537CDC"/>
    <w:rsid w:val="0054005E"/>
    <w:rsid w:val="00540F97"/>
    <w:rsid w:val="00541B2E"/>
    <w:rsid w:val="005424EC"/>
    <w:rsid w:val="00542930"/>
    <w:rsid w:val="00542D09"/>
    <w:rsid w:val="00542D82"/>
    <w:rsid w:val="00542E66"/>
    <w:rsid w:val="00543BF4"/>
    <w:rsid w:val="0054682E"/>
    <w:rsid w:val="00546F4C"/>
    <w:rsid w:val="005471AE"/>
    <w:rsid w:val="0055058C"/>
    <w:rsid w:val="0055290B"/>
    <w:rsid w:val="005536A8"/>
    <w:rsid w:val="00553B6D"/>
    <w:rsid w:val="005540C2"/>
    <w:rsid w:val="0055463A"/>
    <w:rsid w:val="005555B1"/>
    <w:rsid w:val="00557A4A"/>
    <w:rsid w:val="005627A1"/>
    <w:rsid w:val="0056355C"/>
    <w:rsid w:val="005669D3"/>
    <w:rsid w:val="00567D28"/>
    <w:rsid w:val="00570793"/>
    <w:rsid w:val="00571756"/>
    <w:rsid w:val="005725E2"/>
    <w:rsid w:val="00573116"/>
    <w:rsid w:val="005756B3"/>
    <w:rsid w:val="00575E8D"/>
    <w:rsid w:val="00576050"/>
    <w:rsid w:val="0057671F"/>
    <w:rsid w:val="00577929"/>
    <w:rsid w:val="00580972"/>
    <w:rsid w:val="005810CE"/>
    <w:rsid w:val="00581FEE"/>
    <w:rsid w:val="0058307E"/>
    <w:rsid w:val="0058397F"/>
    <w:rsid w:val="00583DDA"/>
    <w:rsid w:val="0058652B"/>
    <w:rsid w:val="005865DA"/>
    <w:rsid w:val="00586919"/>
    <w:rsid w:val="00586B4E"/>
    <w:rsid w:val="00586D71"/>
    <w:rsid w:val="005916A3"/>
    <w:rsid w:val="00591B0B"/>
    <w:rsid w:val="00591FCB"/>
    <w:rsid w:val="005923F0"/>
    <w:rsid w:val="00593707"/>
    <w:rsid w:val="0059405D"/>
    <w:rsid w:val="005940DA"/>
    <w:rsid w:val="00594406"/>
    <w:rsid w:val="005944AA"/>
    <w:rsid w:val="0059524D"/>
    <w:rsid w:val="00595437"/>
    <w:rsid w:val="00596597"/>
    <w:rsid w:val="005A1C06"/>
    <w:rsid w:val="005A1ECC"/>
    <w:rsid w:val="005A2155"/>
    <w:rsid w:val="005A264D"/>
    <w:rsid w:val="005A3BCD"/>
    <w:rsid w:val="005A5B2A"/>
    <w:rsid w:val="005A6AA6"/>
    <w:rsid w:val="005A7C5E"/>
    <w:rsid w:val="005B039C"/>
    <w:rsid w:val="005B18AA"/>
    <w:rsid w:val="005B24DC"/>
    <w:rsid w:val="005B34D4"/>
    <w:rsid w:val="005B350F"/>
    <w:rsid w:val="005B37B3"/>
    <w:rsid w:val="005B3D28"/>
    <w:rsid w:val="005B50D9"/>
    <w:rsid w:val="005B6007"/>
    <w:rsid w:val="005B791C"/>
    <w:rsid w:val="005C077E"/>
    <w:rsid w:val="005C094E"/>
    <w:rsid w:val="005C0F82"/>
    <w:rsid w:val="005C14F0"/>
    <w:rsid w:val="005C2896"/>
    <w:rsid w:val="005C3A22"/>
    <w:rsid w:val="005C3F06"/>
    <w:rsid w:val="005C5A60"/>
    <w:rsid w:val="005C5C28"/>
    <w:rsid w:val="005C6687"/>
    <w:rsid w:val="005C6902"/>
    <w:rsid w:val="005C6F01"/>
    <w:rsid w:val="005C7F63"/>
    <w:rsid w:val="005D0ADA"/>
    <w:rsid w:val="005D1097"/>
    <w:rsid w:val="005D161B"/>
    <w:rsid w:val="005D37E6"/>
    <w:rsid w:val="005D4E7E"/>
    <w:rsid w:val="005D4FD7"/>
    <w:rsid w:val="005D5592"/>
    <w:rsid w:val="005D602C"/>
    <w:rsid w:val="005D70BD"/>
    <w:rsid w:val="005E0231"/>
    <w:rsid w:val="005E12DA"/>
    <w:rsid w:val="005E243C"/>
    <w:rsid w:val="005E3EA1"/>
    <w:rsid w:val="005E6EF5"/>
    <w:rsid w:val="005E757C"/>
    <w:rsid w:val="005E7F80"/>
    <w:rsid w:val="005F0501"/>
    <w:rsid w:val="005F0546"/>
    <w:rsid w:val="005F0DB3"/>
    <w:rsid w:val="005F233F"/>
    <w:rsid w:val="005F2666"/>
    <w:rsid w:val="005F32E8"/>
    <w:rsid w:val="005F34B1"/>
    <w:rsid w:val="005F3551"/>
    <w:rsid w:val="005F3647"/>
    <w:rsid w:val="005F4AF6"/>
    <w:rsid w:val="005F68B6"/>
    <w:rsid w:val="005F6EDA"/>
    <w:rsid w:val="005F711C"/>
    <w:rsid w:val="005F797F"/>
    <w:rsid w:val="005F79E0"/>
    <w:rsid w:val="0060014B"/>
    <w:rsid w:val="00604DB1"/>
    <w:rsid w:val="00605727"/>
    <w:rsid w:val="006057C8"/>
    <w:rsid w:val="00605A73"/>
    <w:rsid w:val="00605C3D"/>
    <w:rsid w:val="00605ED0"/>
    <w:rsid w:val="0060692E"/>
    <w:rsid w:val="006070C9"/>
    <w:rsid w:val="006074B4"/>
    <w:rsid w:val="006074BC"/>
    <w:rsid w:val="006075A1"/>
    <w:rsid w:val="006077D6"/>
    <w:rsid w:val="00607C58"/>
    <w:rsid w:val="0061094A"/>
    <w:rsid w:val="00612265"/>
    <w:rsid w:val="00612F90"/>
    <w:rsid w:val="00614B83"/>
    <w:rsid w:val="00614F00"/>
    <w:rsid w:val="00616D7D"/>
    <w:rsid w:val="0061792C"/>
    <w:rsid w:val="00617FD5"/>
    <w:rsid w:val="0062243F"/>
    <w:rsid w:val="00623FD5"/>
    <w:rsid w:val="00624A18"/>
    <w:rsid w:val="00627CC5"/>
    <w:rsid w:val="006303AD"/>
    <w:rsid w:val="0063091D"/>
    <w:rsid w:val="006327D2"/>
    <w:rsid w:val="00632AB6"/>
    <w:rsid w:val="00633F2C"/>
    <w:rsid w:val="00635004"/>
    <w:rsid w:val="006365FC"/>
    <w:rsid w:val="00637AEB"/>
    <w:rsid w:val="00640312"/>
    <w:rsid w:val="00641546"/>
    <w:rsid w:val="0064192F"/>
    <w:rsid w:val="006449EA"/>
    <w:rsid w:val="00644CE7"/>
    <w:rsid w:val="0064518B"/>
    <w:rsid w:val="006475CE"/>
    <w:rsid w:val="006507AB"/>
    <w:rsid w:val="00650AE5"/>
    <w:rsid w:val="00651737"/>
    <w:rsid w:val="006523C2"/>
    <w:rsid w:val="00652CDD"/>
    <w:rsid w:val="00653B16"/>
    <w:rsid w:val="00654C57"/>
    <w:rsid w:val="00655159"/>
    <w:rsid w:val="0065521B"/>
    <w:rsid w:val="00655F94"/>
    <w:rsid w:val="00656559"/>
    <w:rsid w:val="00656B55"/>
    <w:rsid w:val="00660255"/>
    <w:rsid w:val="0066065E"/>
    <w:rsid w:val="006614E2"/>
    <w:rsid w:val="00661F06"/>
    <w:rsid w:val="00663865"/>
    <w:rsid w:val="00664822"/>
    <w:rsid w:val="00664DEB"/>
    <w:rsid w:val="00666121"/>
    <w:rsid w:val="00666992"/>
    <w:rsid w:val="00667613"/>
    <w:rsid w:val="00667C0F"/>
    <w:rsid w:val="006707E5"/>
    <w:rsid w:val="006719DC"/>
    <w:rsid w:val="00672102"/>
    <w:rsid w:val="006728E4"/>
    <w:rsid w:val="0067327E"/>
    <w:rsid w:val="006750D0"/>
    <w:rsid w:val="0067516D"/>
    <w:rsid w:val="00675597"/>
    <w:rsid w:val="00680CA4"/>
    <w:rsid w:val="00680F2E"/>
    <w:rsid w:val="0068139D"/>
    <w:rsid w:val="006813A1"/>
    <w:rsid w:val="00681882"/>
    <w:rsid w:val="00682F48"/>
    <w:rsid w:val="0068381C"/>
    <w:rsid w:val="0068448F"/>
    <w:rsid w:val="00684619"/>
    <w:rsid w:val="00684757"/>
    <w:rsid w:val="00685721"/>
    <w:rsid w:val="00687A3B"/>
    <w:rsid w:val="00687FD2"/>
    <w:rsid w:val="006914B9"/>
    <w:rsid w:val="00694DF9"/>
    <w:rsid w:val="00694E5E"/>
    <w:rsid w:val="00695D58"/>
    <w:rsid w:val="00697179"/>
    <w:rsid w:val="006A2714"/>
    <w:rsid w:val="006A327E"/>
    <w:rsid w:val="006A35EE"/>
    <w:rsid w:val="006A49BB"/>
    <w:rsid w:val="006A5955"/>
    <w:rsid w:val="006A5EE8"/>
    <w:rsid w:val="006A6317"/>
    <w:rsid w:val="006A671A"/>
    <w:rsid w:val="006A69EF"/>
    <w:rsid w:val="006A6CA2"/>
    <w:rsid w:val="006A7D19"/>
    <w:rsid w:val="006B0808"/>
    <w:rsid w:val="006B1B96"/>
    <w:rsid w:val="006B2144"/>
    <w:rsid w:val="006B221B"/>
    <w:rsid w:val="006B2CBF"/>
    <w:rsid w:val="006B2F3C"/>
    <w:rsid w:val="006B43FC"/>
    <w:rsid w:val="006B5278"/>
    <w:rsid w:val="006B5F5F"/>
    <w:rsid w:val="006B6EE8"/>
    <w:rsid w:val="006B7711"/>
    <w:rsid w:val="006B7B90"/>
    <w:rsid w:val="006C087F"/>
    <w:rsid w:val="006C0D30"/>
    <w:rsid w:val="006C420A"/>
    <w:rsid w:val="006C4D4C"/>
    <w:rsid w:val="006C4FB2"/>
    <w:rsid w:val="006C554F"/>
    <w:rsid w:val="006C61FF"/>
    <w:rsid w:val="006C7C9B"/>
    <w:rsid w:val="006D025E"/>
    <w:rsid w:val="006D0E19"/>
    <w:rsid w:val="006D1089"/>
    <w:rsid w:val="006D1445"/>
    <w:rsid w:val="006D1CE9"/>
    <w:rsid w:val="006D24C1"/>
    <w:rsid w:val="006D30F7"/>
    <w:rsid w:val="006D48DA"/>
    <w:rsid w:val="006D4BA2"/>
    <w:rsid w:val="006D5A10"/>
    <w:rsid w:val="006D6B6E"/>
    <w:rsid w:val="006D6C68"/>
    <w:rsid w:val="006E1128"/>
    <w:rsid w:val="006E18B8"/>
    <w:rsid w:val="006E1A6B"/>
    <w:rsid w:val="006E1D4D"/>
    <w:rsid w:val="006E1D50"/>
    <w:rsid w:val="006E1DE9"/>
    <w:rsid w:val="006E29ED"/>
    <w:rsid w:val="006E57C3"/>
    <w:rsid w:val="006E5DB0"/>
    <w:rsid w:val="006E797C"/>
    <w:rsid w:val="006F19C9"/>
    <w:rsid w:val="006F2575"/>
    <w:rsid w:val="006F5596"/>
    <w:rsid w:val="006F5E25"/>
    <w:rsid w:val="006F608F"/>
    <w:rsid w:val="006F6100"/>
    <w:rsid w:val="006F619C"/>
    <w:rsid w:val="006F637D"/>
    <w:rsid w:val="006F6F9D"/>
    <w:rsid w:val="006F7C59"/>
    <w:rsid w:val="007011CA"/>
    <w:rsid w:val="007040FB"/>
    <w:rsid w:val="007049EE"/>
    <w:rsid w:val="00704C11"/>
    <w:rsid w:val="00704E11"/>
    <w:rsid w:val="0070556F"/>
    <w:rsid w:val="00707130"/>
    <w:rsid w:val="00711025"/>
    <w:rsid w:val="0071169A"/>
    <w:rsid w:val="007118C0"/>
    <w:rsid w:val="00711B5F"/>
    <w:rsid w:val="0071375E"/>
    <w:rsid w:val="00713F6D"/>
    <w:rsid w:val="00716286"/>
    <w:rsid w:val="00721F02"/>
    <w:rsid w:val="007224DB"/>
    <w:rsid w:val="00724B51"/>
    <w:rsid w:val="007268B2"/>
    <w:rsid w:val="007270EC"/>
    <w:rsid w:val="00727BD6"/>
    <w:rsid w:val="007300AC"/>
    <w:rsid w:val="007302D2"/>
    <w:rsid w:val="00730965"/>
    <w:rsid w:val="00730F45"/>
    <w:rsid w:val="00733156"/>
    <w:rsid w:val="00733829"/>
    <w:rsid w:val="007343F0"/>
    <w:rsid w:val="00734DE8"/>
    <w:rsid w:val="00734F74"/>
    <w:rsid w:val="00735274"/>
    <w:rsid w:val="007359D7"/>
    <w:rsid w:val="00736A2B"/>
    <w:rsid w:val="00736DA8"/>
    <w:rsid w:val="00742763"/>
    <w:rsid w:val="0074484E"/>
    <w:rsid w:val="00744A01"/>
    <w:rsid w:val="007514E1"/>
    <w:rsid w:val="007520E4"/>
    <w:rsid w:val="007532C4"/>
    <w:rsid w:val="007534D4"/>
    <w:rsid w:val="00753BEA"/>
    <w:rsid w:val="0075478D"/>
    <w:rsid w:val="00754AD5"/>
    <w:rsid w:val="00754F15"/>
    <w:rsid w:val="00755449"/>
    <w:rsid w:val="00756424"/>
    <w:rsid w:val="00756D3E"/>
    <w:rsid w:val="0075771B"/>
    <w:rsid w:val="007577E9"/>
    <w:rsid w:val="007629F8"/>
    <w:rsid w:val="0076347B"/>
    <w:rsid w:val="00764438"/>
    <w:rsid w:val="00765673"/>
    <w:rsid w:val="00765FB6"/>
    <w:rsid w:val="00766209"/>
    <w:rsid w:val="0076644E"/>
    <w:rsid w:val="0076746D"/>
    <w:rsid w:val="00767FF6"/>
    <w:rsid w:val="0077016F"/>
    <w:rsid w:val="00770206"/>
    <w:rsid w:val="00771075"/>
    <w:rsid w:val="007719A2"/>
    <w:rsid w:val="00774C37"/>
    <w:rsid w:val="007759B5"/>
    <w:rsid w:val="0077665B"/>
    <w:rsid w:val="00776BC2"/>
    <w:rsid w:val="00777189"/>
    <w:rsid w:val="007771DB"/>
    <w:rsid w:val="00780CEB"/>
    <w:rsid w:val="00781374"/>
    <w:rsid w:val="007813DA"/>
    <w:rsid w:val="0078246F"/>
    <w:rsid w:val="00782C91"/>
    <w:rsid w:val="00783D0A"/>
    <w:rsid w:val="007872AF"/>
    <w:rsid w:val="00787607"/>
    <w:rsid w:val="007878FC"/>
    <w:rsid w:val="00790370"/>
    <w:rsid w:val="00790444"/>
    <w:rsid w:val="0079074C"/>
    <w:rsid w:val="007907B9"/>
    <w:rsid w:val="007911A0"/>
    <w:rsid w:val="0079315C"/>
    <w:rsid w:val="00795001"/>
    <w:rsid w:val="007967CD"/>
    <w:rsid w:val="00797E34"/>
    <w:rsid w:val="007A4184"/>
    <w:rsid w:val="007A47FA"/>
    <w:rsid w:val="007A4865"/>
    <w:rsid w:val="007A5620"/>
    <w:rsid w:val="007A5D1E"/>
    <w:rsid w:val="007A6327"/>
    <w:rsid w:val="007A65FF"/>
    <w:rsid w:val="007A79BE"/>
    <w:rsid w:val="007B1306"/>
    <w:rsid w:val="007B2C81"/>
    <w:rsid w:val="007B4662"/>
    <w:rsid w:val="007B5543"/>
    <w:rsid w:val="007B596B"/>
    <w:rsid w:val="007B609C"/>
    <w:rsid w:val="007B64AC"/>
    <w:rsid w:val="007B6A74"/>
    <w:rsid w:val="007B76C6"/>
    <w:rsid w:val="007C03A4"/>
    <w:rsid w:val="007C17D6"/>
    <w:rsid w:val="007C19C8"/>
    <w:rsid w:val="007C1ED3"/>
    <w:rsid w:val="007C21C8"/>
    <w:rsid w:val="007C40EA"/>
    <w:rsid w:val="007C4569"/>
    <w:rsid w:val="007C5EF7"/>
    <w:rsid w:val="007D01CC"/>
    <w:rsid w:val="007D1FB0"/>
    <w:rsid w:val="007D2725"/>
    <w:rsid w:val="007D2927"/>
    <w:rsid w:val="007D293C"/>
    <w:rsid w:val="007D2985"/>
    <w:rsid w:val="007D3344"/>
    <w:rsid w:val="007D34F4"/>
    <w:rsid w:val="007D65F2"/>
    <w:rsid w:val="007D6BDD"/>
    <w:rsid w:val="007D78FE"/>
    <w:rsid w:val="007E00EC"/>
    <w:rsid w:val="007E1507"/>
    <w:rsid w:val="007E1B3C"/>
    <w:rsid w:val="007E20C0"/>
    <w:rsid w:val="007E27C7"/>
    <w:rsid w:val="007E7096"/>
    <w:rsid w:val="007E736C"/>
    <w:rsid w:val="007F06CE"/>
    <w:rsid w:val="007F2395"/>
    <w:rsid w:val="007F412F"/>
    <w:rsid w:val="007F4600"/>
    <w:rsid w:val="007F466D"/>
    <w:rsid w:val="007F4ED8"/>
    <w:rsid w:val="007F6132"/>
    <w:rsid w:val="007F65C2"/>
    <w:rsid w:val="007F6CA3"/>
    <w:rsid w:val="007F7629"/>
    <w:rsid w:val="007F7A7E"/>
    <w:rsid w:val="00801E99"/>
    <w:rsid w:val="0080394C"/>
    <w:rsid w:val="00806120"/>
    <w:rsid w:val="008067A5"/>
    <w:rsid w:val="00807110"/>
    <w:rsid w:val="00807220"/>
    <w:rsid w:val="008072F1"/>
    <w:rsid w:val="00807FB6"/>
    <w:rsid w:val="008101B3"/>
    <w:rsid w:val="00810663"/>
    <w:rsid w:val="0081074A"/>
    <w:rsid w:val="0081078A"/>
    <w:rsid w:val="00810BC9"/>
    <w:rsid w:val="00812709"/>
    <w:rsid w:val="00812F57"/>
    <w:rsid w:val="00813131"/>
    <w:rsid w:val="0081409B"/>
    <w:rsid w:val="00815700"/>
    <w:rsid w:val="00816733"/>
    <w:rsid w:val="0081738D"/>
    <w:rsid w:val="00820175"/>
    <w:rsid w:val="00820D5A"/>
    <w:rsid w:val="00821E98"/>
    <w:rsid w:val="00822628"/>
    <w:rsid w:val="00825332"/>
    <w:rsid w:val="0082557A"/>
    <w:rsid w:val="00826AEE"/>
    <w:rsid w:val="0082760B"/>
    <w:rsid w:val="008277C9"/>
    <w:rsid w:val="00827FE5"/>
    <w:rsid w:val="008300BA"/>
    <w:rsid w:val="00831DC6"/>
    <w:rsid w:val="0083696B"/>
    <w:rsid w:val="008369BF"/>
    <w:rsid w:val="008376A7"/>
    <w:rsid w:val="00840892"/>
    <w:rsid w:val="00840BE9"/>
    <w:rsid w:val="00840CAC"/>
    <w:rsid w:val="00841F75"/>
    <w:rsid w:val="0084207D"/>
    <w:rsid w:val="00842EFA"/>
    <w:rsid w:val="008443E9"/>
    <w:rsid w:val="008457EA"/>
    <w:rsid w:val="00845C2E"/>
    <w:rsid w:val="00846E1C"/>
    <w:rsid w:val="008502A2"/>
    <w:rsid w:val="008504F3"/>
    <w:rsid w:val="00850D54"/>
    <w:rsid w:val="00850E8C"/>
    <w:rsid w:val="00852549"/>
    <w:rsid w:val="008529B8"/>
    <w:rsid w:val="00852C5D"/>
    <w:rsid w:val="00852CBC"/>
    <w:rsid w:val="00853897"/>
    <w:rsid w:val="00853FC8"/>
    <w:rsid w:val="008559E4"/>
    <w:rsid w:val="00855F72"/>
    <w:rsid w:val="008604A8"/>
    <w:rsid w:val="00861398"/>
    <w:rsid w:val="00862119"/>
    <w:rsid w:val="00863014"/>
    <w:rsid w:val="00864593"/>
    <w:rsid w:val="008652E1"/>
    <w:rsid w:val="00865460"/>
    <w:rsid w:val="008654FB"/>
    <w:rsid w:val="0086581A"/>
    <w:rsid w:val="0087038A"/>
    <w:rsid w:val="00870891"/>
    <w:rsid w:val="00871400"/>
    <w:rsid w:val="00871FBE"/>
    <w:rsid w:val="0087262E"/>
    <w:rsid w:val="00872BC8"/>
    <w:rsid w:val="00873277"/>
    <w:rsid w:val="00874A66"/>
    <w:rsid w:val="00875B52"/>
    <w:rsid w:val="00880E42"/>
    <w:rsid w:val="00880FB7"/>
    <w:rsid w:val="0088128B"/>
    <w:rsid w:val="008814C0"/>
    <w:rsid w:val="0088258E"/>
    <w:rsid w:val="00883F6E"/>
    <w:rsid w:val="0088474C"/>
    <w:rsid w:val="008853CE"/>
    <w:rsid w:val="008865E2"/>
    <w:rsid w:val="00886C46"/>
    <w:rsid w:val="00886C94"/>
    <w:rsid w:val="00891D69"/>
    <w:rsid w:val="00891E22"/>
    <w:rsid w:val="008936F0"/>
    <w:rsid w:val="008957D9"/>
    <w:rsid w:val="00895B9C"/>
    <w:rsid w:val="00896797"/>
    <w:rsid w:val="008968BD"/>
    <w:rsid w:val="008978D1"/>
    <w:rsid w:val="008A3221"/>
    <w:rsid w:val="008A3BE4"/>
    <w:rsid w:val="008A4295"/>
    <w:rsid w:val="008A5017"/>
    <w:rsid w:val="008A6DF3"/>
    <w:rsid w:val="008B047B"/>
    <w:rsid w:val="008B049E"/>
    <w:rsid w:val="008B14F9"/>
    <w:rsid w:val="008B3817"/>
    <w:rsid w:val="008B3E28"/>
    <w:rsid w:val="008B3EA7"/>
    <w:rsid w:val="008B5CFF"/>
    <w:rsid w:val="008B62AC"/>
    <w:rsid w:val="008B6DEE"/>
    <w:rsid w:val="008C098E"/>
    <w:rsid w:val="008C09D2"/>
    <w:rsid w:val="008C1226"/>
    <w:rsid w:val="008C147F"/>
    <w:rsid w:val="008C164A"/>
    <w:rsid w:val="008C1AFB"/>
    <w:rsid w:val="008C2A5B"/>
    <w:rsid w:val="008C33D6"/>
    <w:rsid w:val="008C354E"/>
    <w:rsid w:val="008C470A"/>
    <w:rsid w:val="008C4D09"/>
    <w:rsid w:val="008C4DBA"/>
    <w:rsid w:val="008C603E"/>
    <w:rsid w:val="008C7F7C"/>
    <w:rsid w:val="008D020B"/>
    <w:rsid w:val="008D1034"/>
    <w:rsid w:val="008D1D76"/>
    <w:rsid w:val="008D2187"/>
    <w:rsid w:val="008D26EF"/>
    <w:rsid w:val="008D28B3"/>
    <w:rsid w:val="008D2B85"/>
    <w:rsid w:val="008D3DCC"/>
    <w:rsid w:val="008D59AE"/>
    <w:rsid w:val="008D5D36"/>
    <w:rsid w:val="008D65D1"/>
    <w:rsid w:val="008D7054"/>
    <w:rsid w:val="008D737C"/>
    <w:rsid w:val="008E0500"/>
    <w:rsid w:val="008E1049"/>
    <w:rsid w:val="008E218F"/>
    <w:rsid w:val="008E2AE3"/>
    <w:rsid w:val="008E4B3A"/>
    <w:rsid w:val="008E507D"/>
    <w:rsid w:val="008E5F43"/>
    <w:rsid w:val="008E68EA"/>
    <w:rsid w:val="008E69C6"/>
    <w:rsid w:val="008E79A1"/>
    <w:rsid w:val="008E7B1B"/>
    <w:rsid w:val="008F005F"/>
    <w:rsid w:val="008F0486"/>
    <w:rsid w:val="008F0ABF"/>
    <w:rsid w:val="008F0CCF"/>
    <w:rsid w:val="008F130E"/>
    <w:rsid w:val="008F1B5F"/>
    <w:rsid w:val="008F251D"/>
    <w:rsid w:val="008F2911"/>
    <w:rsid w:val="008F355F"/>
    <w:rsid w:val="008F5AFB"/>
    <w:rsid w:val="008F6549"/>
    <w:rsid w:val="008F6E25"/>
    <w:rsid w:val="008F736F"/>
    <w:rsid w:val="008F7B5F"/>
    <w:rsid w:val="008F7DE6"/>
    <w:rsid w:val="00900425"/>
    <w:rsid w:val="00901411"/>
    <w:rsid w:val="00902246"/>
    <w:rsid w:val="00902C94"/>
    <w:rsid w:val="00902FF2"/>
    <w:rsid w:val="00903BFC"/>
    <w:rsid w:val="00903EA6"/>
    <w:rsid w:val="009041C6"/>
    <w:rsid w:val="0090426F"/>
    <w:rsid w:val="009043A4"/>
    <w:rsid w:val="00906294"/>
    <w:rsid w:val="00906F92"/>
    <w:rsid w:val="00907744"/>
    <w:rsid w:val="0091007C"/>
    <w:rsid w:val="00910262"/>
    <w:rsid w:val="00912350"/>
    <w:rsid w:val="00912AF0"/>
    <w:rsid w:val="009143C8"/>
    <w:rsid w:val="009149D0"/>
    <w:rsid w:val="00914AB7"/>
    <w:rsid w:val="00917B03"/>
    <w:rsid w:val="009203C0"/>
    <w:rsid w:val="00926995"/>
    <w:rsid w:val="00927678"/>
    <w:rsid w:val="00927BDB"/>
    <w:rsid w:val="00927D84"/>
    <w:rsid w:val="009301E7"/>
    <w:rsid w:val="009309EF"/>
    <w:rsid w:val="00931AA7"/>
    <w:rsid w:val="00931F2D"/>
    <w:rsid w:val="0093319C"/>
    <w:rsid w:val="00933D8F"/>
    <w:rsid w:val="00934394"/>
    <w:rsid w:val="00934E24"/>
    <w:rsid w:val="00935A76"/>
    <w:rsid w:val="00936228"/>
    <w:rsid w:val="009411EF"/>
    <w:rsid w:val="009415A4"/>
    <w:rsid w:val="00941CA7"/>
    <w:rsid w:val="00942363"/>
    <w:rsid w:val="0094293E"/>
    <w:rsid w:val="00942A5B"/>
    <w:rsid w:val="009453C8"/>
    <w:rsid w:val="00945FB0"/>
    <w:rsid w:val="00946C23"/>
    <w:rsid w:val="009504E3"/>
    <w:rsid w:val="00952DB3"/>
    <w:rsid w:val="009544BD"/>
    <w:rsid w:val="009544E1"/>
    <w:rsid w:val="00954D22"/>
    <w:rsid w:val="00955CA0"/>
    <w:rsid w:val="0095689A"/>
    <w:rsid w:val="00956E38"/>
    <w:rsid w:val="00956F82"/>
    <w:rsid w:val="00960CDB"/>
    <w:rsid w:val="00961983"/>
    <w:rsid w:val="009630A2"/>
    <w:rsid w:val="00963131"/>
    <w:rsid w:val="00965787"/>
    <w:rsid w:val="00966211"/>
    <w:rsid w:val="00966309"/>
    <w:rsid w:val="00966D05"/>
    <w:rsid w:val="00967936"/>
    <w:rsid w:val="00970A54"/>
    <w:rsid w:val="00970F7D"/>
    <w:rsid w:val="009719BD"/>
    <w:rsid w:val="0097201E"/>
    <w:rsid w:val="009729F9"/>
    <w:rsid w:val="00972C3B"/>
    <w:rsid w:val="00972E19"/>
    <w:rsid w:val="0097310F"/>
    <w:rsid w:val="00973628"/>
    <w:rsid w:val="0097378D"/>
    <w:rsid w:val="00974395"/>
    <w:rsid w:val="009761E7"/>
    <w:rsid w:val="00977612"/>
    <w:rsid w:val="0098129D"/>
    <w:rsid w:val="00982590"/>
    <w:rsid w:val="009827FE"/>
    <w:rsid w:val="0098430E"/>
    <w:rsid w:val="00987705"/>
    <w:rsid w:val="00987D87"/>
    <w:rsid w:val="00991279"/>
    <w:rsid w:val="00991A88"/>
    <w:rsid w:val="009953B9"/>
    <w:rsid w:val="00996974"/>
    <w:rsid w:val="009A0144"/>
    <w:rsid w:val="009A0659"/>
    <w:rsid w:val="009A2603"/>
    <w:rsid w:val="009A2852"/>
    <w:rsid w:val="009A3712"/>
    <w:rsid w:val="009A3B37"/>
    <w:rsid w:val="009A4015"/>
    <w:rsid w:val="009A4784"/>
    <w:rsid w:val="009A5DFF"/>
    <w:rsid w:val="009A6561"/>
    <w:rsid w:val="009A6A5C"/>
    <w:rsid w:val="009B232B"/>
    <w:rsid w:val="009B2929"/>
    <w:rsid w:val="009B34FE"/>
    <w:rsid w:val="009B55E7"/>
    <w:rsid w:val="009B5777"/>
    <w:rsid w:val="009B58D3"/>
    <w:rsid w:val="009B636A"/>
    <w:rsid w:val="009B7C09"/>
    <w:rsid w:val="009C0029"/>
    <w:rsid w:val="009C06CD"/>
    <w:rsid w:val="009C175C"/>
    <w:rsid w:val="009C24BB"/>
    <w:rsid w:val="009C42C8"/>
    <w:rsid w:val="009C50DB"/>
    <w:rsid w:val="009C5604"/>
    <w:rsid w:val="009D00FE"/>
    <w:rsid w:val="009D0422"/>
    <w:rsid w:val="009D13A3"/>
    <w:rsid w:val="009D31EE"/>
    <w:rsid w:val="009D3B79"/>
    <w:rsid w:val="009D4D64"/>
    <w:rsid w:val="009D5678"/>
    <w:rsid w:val="009D7E64"/>
    <w:rsid w:val="009E153D"/>
    <w:rsid w:val="009E34FA"/>
    <w:rsid w:val="009E3B73"/>
    <w:rsid w:val="009E47B8"/>
    <w:rsid w:val="009E53E4"/>
    <w:rsid w:val="009E7BAD"/>
    <w:rsid w:val="009F0A98"/>
    <w:rsid w:val="009F0E47"/>
    <w:rsid w:val="009F1C75"/>
    <w:rsid w:val="009F32EE"/>
    <w:rsid w:val="009F3A4F"/>
    <w:rsid w:val="009F4555"/>
    <w:rsid w:val="009F5636"/>
    <w:rsid w:val="009F6911"/>
    <w:rsid w:val="00A0026F"/>
    <w:rsid w:val="00A00C3F"/>
    <w:rsid w:val="00A0314A"/>
    <w:rsid w:val="00A033B6"/>
    <w:rsid w:val="00A06AAF"/>
    <w:rsid w:val="00A11681"/>
    <w:rsid w:val="00A11783"/>
    <w:rsid w:val="00A1316B"/>
    <w:rsid w:val="00A14385"/>
    <w:rsid w:val="00A14C38"/>
    <w:rsid w:val="00A1529E"/>
    <w:rsid w:val="00A17958"/>
    <w:rsid w:val="00A17F43"/>
    <w:rsid w:val="00A22F38"/>
    <w:rsid w:val="00A23592"/>
    <w:rsid w:val="00A2392F"/>
    <w:rsid w:val="00A23C5F"/>
    <w:rsid w:val="00A243E7"/>
    <w:rsid w:val="00A249B8"/>
    <w:rsid w:val="00A24F95"/>
    <w:rsid w:val="00A27A52"/>
    <w:rsid w:val="00A316C2"/>
    <w:rsid w:val="00A3171E"/>
    <w:rsid w:val="00A32875"/>
    <w:rsid w:val="00A35635"/>
    <w:rsid w:val="00A35664"/>
    <w:rsid w:val="00A357FD"/>
    <w:rsid w:val="00A35DD8"/>
    <w:rsid w:val="00A363D4"/>
    <w:rsid w:val="00A36DA0"/>
    <w:rsid w:val="00A36F8B"/>
    <w:rsid w:val="00A420BD"/>
    <w:rsid w:val="00A42B28"/>
    <w:rsid w:val="00A42B70"/>
    <w:rsid w:val="00A42C6D"/>
    <w:rsid w:val="00A42D5D"/>
    <w:rsid w:val="00A454F7"/>
    <w:rsid w:val="00A45942"/>
    <w:rsid w:val="00A45E7D"/>
    <w:rsid w:val="00A509B1"/>
    <w:rsid w:val="00A52B44"/>
    <w:rsid w:val="00A54681"/>
    <w:rsid w:val="00A54A86"/>
    <w:rsid w:val="00A55CEF"/>
    <w:rsid w:val="00A55F3C"/>
    <w:rsid w:val="00A569B9"/>
    <w:rsid w:val="00A60E9E"/>
    <w:rsid w:val="00A6119D"/>
    <w:rsid w:val="00A61743"/>
    <w:rsid w:val="00A63081"/>
    <w:rsid w:val="00A639B7"/>
    <w:rsid w:val="00A639ED"/>
    <w:rsid w:val="00A6473B"/>
    <w:rsid w:val="00A651F5"/>
    <w:rsid w:val="00A65AAB"/>
    <w:rsid w:val="00A65DC9"/>
    <w:rsid w:val="00A65E3D"/>
    <w:rsid w:val="00A662BF"/>
    <w:rsid w:val="00A67198"/>
    <w:rsid w:val="00A7088F"/>
    <w:rsid w:val="00A70AD9"/>
    <w:rsid w:val="00A72079"/>
    <w:rsid w:val="00A73EC0"/>
    <w:rsid w:val="00A74115"/>
    <w:rsid w:val="00A74557"/>
    <w:rsid w:val="00A74C02"/>
    <w:rsid w:val="00A75DD3"/>
    <w:rsid w:val="00A764AF"/>
    <w:rsid w:val="00A76AEC"/>
    <w:rsid w:val="00A772E3"/>
    <w:rsid w:val="00A77812"/>
    <w:rsid w:val="00A811EC"/>
    <w:rsid w:val="00A81CE2"/>
    <w:rsid w:val="00A81FA4"/>
    <w:rsid w:val="00A81FB6"/>
    <w:rsid w:val="00A820F1"/>
    <w:rsid w:val="00A83276"/>
    <w:rsid w:val="00A84A50"/>
    <w:rsid w:val="00A86471"/>
    <w:rsid w:val="00A867AB"/>
    <w:rsid w:val="00A86A4E"/>
    <w:rsid w:val="00A86F8D"/>
    <w:rsid w:val="00A87B83"/>
    <w:rsid w:val="00A87F5E"/>
    <w:rsid w:val="00A87F80"/>
    <w:rsid w:val="00A901E6"/>
    <w:rsid w:val="00A90DC1"/>
    <w:rsid w:val="00A9314D"/>
    <w:rsid w:val="00A9372D"/>
    <w:rsid w:val="00A93E9B"/>
    <w:rsid w:val="00A944EB"/>
    <w:rsid w:val="00A95180"/>
    <w:rsid w:val="00A95254"/>
    <w:rsid w:val="00AA223E"/>
    <w:rsid w:val="00AA336C"/>
    <w:rsid w:val="00AA5CF1"/>
    <w:rsid w:val="00AB0FBC"/>
    <w:rsid w:val="00AB0FBF"/>
    <w:rsid w:val="00AB2467"/>
    <w:rsid w:val="00AB276C"/>
    <w:rsid w:val="00AB3A48"/>
    <w:rsid w:val="00AB4357"/>
    <w:rsid w:val="00AB4D70"/>
    <w:rsid w:val="00AB4EE5"/>
    <w:rsid w:val="00AB5696"/>
    <w:rsid w:val="00AB63B4"/>
    <w:rsid w:val="00AB6893"/>
    <w:rsid w:val="00AB6D94"/>
    <w:rsid w:val="00AB76F4"/>
    <w:rsid w:val="00AB7F84"/>
    <w:rsid w:val="00AC0244"/>
    <w:rsid w:val="00AC4302"/>
    <w:rsid w:val="00AC760E"/>
    <w:rsid w:val="00AC7D6E"/>
    <w:rsid w:val="00AD0139"/>
    <w:rsid w:val="00AD2008"/>
    <w:rsid w:val="00AD2400"/>
    <w:rsid w:val="00AD401C"/>
    <w:rsid w:val="00AD4192"/>
    <w:rsid w:val="00AD4739"/>
    <w:rsid w:val="00AD4C1B"/>
    <w:rsid w:val="00AD6581"/>
    <w:rsid w:val="00AD66B5"/>
    <w:rsid w:val="00AD738F"/>
    <w:rsid w:val="00AD7713"/>
    <w:rsid w:val="00AD7EFB"/>
    <w:rsid w:val="00AE0378"/>
    <w:rsid w:val="00AE0393"/>
    <w:rsid w:val="00AE090C"/>
    <w:rsid w:val="00AE0A55"/>
    <w:rsid w:val="00AE1E4D"/>
    <w:rsid w:val="00AE483E"/>
    <w:rsid w:val="00AF02E2"/>
    <w:rsid w:val="00AF17F5"/>
    <w:rsid w:val="00AF2348"/>
    <w:rsid w:val="00AF395B"/>
    <w:rsid w:val="00AF46DA"/>
    <w:rsid w:val="00AF46F3"/>
    <w:rsid w:val="00AF4AAE"/>
    <w:rsid w:val="00AF540C"/>
    <w:rsid w:val="00AF591D"/>
    <w:rsid w:val="00AF6829"/>
    <w:rsid w:val="00AF6D93"/>
    <w:rsid w:val="00AF79A4"/>
    <w:rsid w:val="00AF7A97"/>
    <w:rsid w:val="00AF7AD6"/>
    <w:rsid w:val="00B00295"/>
    <w:rsid w:val="00B02B07"/>
    <w:rsid w:val="00B03E93"/>
    <w:rsid w:val="00B04305"/>
    <w:rsid w:val="00B04624"/>
    <w:rsid w:val="00B04BA5"/>
    <w:rsid w:val="00B054EE"/>
    <w:rsid w:val="00B05FE6"/>
    <w:rsid w:val="00B063FD"/>
    <w:rsid w:val="00B07159"/>
    <w:rsid w:val="00B07E13"/>
    <w:rsid w:val="00B10445"/>
    <w:rsid w:val="00B123DD"/>
    <w:rsid w:val="00B123E6"/>
    <w:rsid w:val="00B13B29"/>
    <w:rsid w:val="00B143C7"/>
    <w:rsid w:val="00B15381"/>
    <w:rsid w:val="00B161BB"/>
    <w:rsid w:val="00B17D02"/>
    <w:rsid w:val="00B2049E"/>
    <w:rsid w:val="00B20A9D"/>
    <w:rsid w:val="00B218A3"/>
    <w:rsid w:val="00B23113"/>
    <w:rsid w:val="00B23396"/>
    <w:rsid w:val="00B24844"/>
    <w:rsid w:val="00B24A87"/>
    <w:rsid w:val="00B25CB9"/>
    <w:rsid w:val="00B264FF"/>
    <w:rsid w:val="00B2656F"/>
    <w:rsid w:val="00B27398"/>
    <w:rsid w:val="00B30A70"/>
    <w:rsid w:val="00B32981"/>
    <w:rsid w:val="00B346BD"/>
    <w:rsid w:val="00B35CEE"/>
    <w:rsid w:val="00B364D6"/>
    <w:rsid w:val="00B37C49"/>
    <w:rsid w:val="00B4220C"/>
    <w:rsid w:val="00B4262D"/>
    <w:rsid w:val="00B42A48"/>
    <w:rsid w:val="00B42E22"/>
    <w:rsid w:val="00B431EA"/>
    <w:rsid w:val="00B43475"/>
    <w:rsid w:val="00B44C53"/>
    <w:rsid w:val="00B44DD4"/>
    <w:rsid w:val="00B46082"/>
    <w:rsid w:val="00B4652D"/>
    <w:rsid w:val="00B5086E"/>
    <w:rsid w:val="00B50B9A"/>
    <w:rsid w:val="00B5299E"/>
    <w:rsid w:val="00B533D1"/>
    <w:rsid w:val="00B54148"/>
    <w:rsid w:val="00B54410"/>
    <w:rsid w:val="00B5555C"/>
    <w:rsid w:val="00B55FE8"/>
    <w:rsid w:val="00B627B2"/>
    <w:rsid w:val="00B628A5"/>
    <w:rsid w:val="00B62FFA"/>
    <w:rsid w:val="00B63C4E"/>
    <w:rsid w:val="00B65BDC"/>
    <w:rsid w:val="00B67C01"/>
    <w:rsid w:val="00B71733"/>
    <w:rsid w:val="00B7270A"/>
    <w:rsid w:val="00B73379"/>
    <w:rsid w:val="00B73E27"/>
    <w:rsid w:val="00B7424D"/>
    <w:rsid w:val="00B74AA2"/>
    <w:rsid w:val="00B75BED"/>
    <w:rsid w:val="00B76412"/>
    <w:rsid w:val="00B76524"/>
    <w:rsid w:val="00B76A5C"/>
    <w:rsid w:val="00B7705B"/>
    <w:rsid w:val="00B80A2E"/>
    <w:rsid w:val="00B81084"/>
    <w:rsid w:val="00B811B8"/>
    <w:rsid w:val="00B834E0"/>
    <w:rsid w:val="00B8512E"/>
    <w:rsid w:val="00B85E51"/>
    <w:rsid w:val="00B86944"/>
    <w:rsid w:val="00B87E32"/>
    <w:rsid w:val="00B907DF"/>
    <w:rsid w:val="00B9124F"/>
    <w:rsid w:val="00B91BAE"/>
    <w:rsid w:val="00B91F14"/>
    <w:rsid w:val="00B92FEC"/>
    <w:rsid w:val="00B9596B"/>
    <w:rsid w:val="00B96FD3"/>
    <w:rsid w:val="00BA17D7"/>
    <w:rsid w:val="00BA340C"/>
    <w:rsid w:val="00BA7FA5"/>
    <w:rsid w:val="00BB0192"/>
    <w:rsid w:val="00BB0ED7"/>
    <w:rsid w:val="00BB2AD8"/>
    <w:rsid w:val="00BB2C50"/>
    <w:rsid w:val="00BB484A"/>
    <w:rsid w:val="00BB6677"/>
    <w:rsid w:val="00BC0608"/>
    <w:rsid w:val="00BC1FCA"/>
    <w:rsid w:val="00BC20D3"/>
    <w:rsid w:val="00BC46CB"/>
    <w:rsid w:val="00BC5073"/>
    <w:rsid w:val="00BC73FD"/>
    <w:rsid w:val="00BC78FB"/>
    <w:rsid w:val="00BC7F3B"/>
    <w:rsid w:val="00BD204C"/>
    <w:rsid w:val="00BD265E"/>
    <w:rsid w:val="00BD38A5"/>
    <w:rsid w:val="00BD3FBF"/>
    <w:rsid w:val="00BD4B88"/>
    <w:rsid w:val="00BD5BC0"/>
    <w:rsid w:val="00BD608E"/>
    <w:rsid w:val="00BD630A"/>
    <w:rsid w:val="00BE023C"/>
    <w:rsid w:val="00BE02E5"/>
    <w:rsid w:val="00BE13CC"/>
    <w:rsid w:val="00BE343E"/>
    <w:rsid w:val="00BE3AC0"/>
    <w:rsid w:val="00BE3C11"/>
    <w:rsid w:val="00BE3C9F"/>
    <w:rsid w:val="00BE477C"/>
    <w:rsid w:val="00BE6841"/>
    <w:rsid w:val="00BE71CC"/>
    <w:rsid w:val="00BF0F98"/>
    <w:rsid w:val="00BF180D"/>
    <w:rsid w:val="00BF2BCE"/>
    <w:rsid w:val="00BF2F46"/>
    <w:rsid w:val="00BF39FC"/>
    <w:rsid w:val="00BF3A6F"/>
    <w:rsid w:val="00BF4435"/>
    <w:rsid w:val="00BF4661"/>
    <w:rsid w:val="00BF51DC"/>
    <w:rsid w:val="00BF5911"/>
    <w:rsid w:val="00BF64EB"/>
    <w:rsid w:val="00BF67FE"/>
    <w:rsid w:val="00BF6D1A"/>
    <w:rsid w:val="00BF7BE2"/>
    <w:rsid w:val="00BF7D60"/>
    <w:rsid w:val="00C02AD6"/>
    <w:rsid w:val="00C03EA3"/>
    <w:rsid w:val="00C053B7"/>
    <w:rsid w:val="00C05F87"/>
    <w:rsid w:val="00C07B36"/>
    <w:rsid w:val="00C07D0B"/>
    <w:rsid w:val="00C10352"/>
    <w:rsid w:val="00C10F66"/>
    <w:rsid w:val="00C11970"/>
    <w:rsid w:val="00C12620"/>
    <w:rsid w:val="00C13CCE"/>
    <w:rsid w:val="00C14144"/>
    <w:rsid w:val="00C16086"/>
    <w:rsid w:val="00C16527"/>
    <w:rsid w:val="00C16E57"/>
    <w:rsid w:val="00C1755E"/>
    <w:rsid w:val="00C213C5"/>
    <w:rsid w:val="00C21926"/>
    <w:rsid w:val="00C21A75"/>
    <w:rsid w:val="00C22862"/>
    <w:rsid w:val="00C22B1A"/>
    <w:rsid w:val="00C2417F"/>
    <w:rsid w:val="00C244F5"/>
    <w:rsid w:val="00C246E6"/>
    <w:rsid w:val="00C24FF0"/>
    <w:rsid w:val="00C26562"/>
    <w:rsid w:val="00C26A44"/>
    <w:rsid w:val="00C2705D"/>
    <w:rsid w:val="00C27489"/>
    <w:rsid w:val="00C27AA1"/>
    <w:rsid w:val="00C27B00"/>
    <w:rsid w:val="00C27BF5"/>
    <w:rsid w:val="00C30F61"/>
    <w:rsid w:val="00C32529"/>
    <w:rsid w:val="00C33129"/>
    <w:rsid w:val="00C33C9F"/>
    <w:rsid w:val="00C34EAA"/>
    <w:rsid w:val="00C351BC"/>
    <w:rsid w:val="00C35DBB"/>
    <w:rsid w:val="00C365EF"/>
    <w:rsid w:val="00C36AED"/>
    <w:rsid w:val="00C36B75"/>
    <w:rsid w:val="00C375AE"/>
    <w:rsid w:val="00C40068"/>
    <w:rsid w:val="00C41229"/>
    <w:rsid w:val="00C416D2"/>
    <w:rsid w:val="00C41CE5"/>
    <w:rsid w:val="00C43772"/>
    <w:rsid w:val="00C43986"/>
    <w:rsid w:val="00C45172"/>
    <w:rsid w:val="00C4547E"/>
    <w:rsid w:val="00C45D17"/>
    <w:rsid w:val="00C45DA4"/>
    <w:rsid w:val="00C469F2"/>
    <w:rsid w:val="00C5095C"/>
    <w:rsid w:val="00C509ED"/>
    <w:rsid w:val="00C52985"/>
    <w:rsid w:val="00C52BD1"/>
    <w:rsid w:val="00C5384A"/>
    <w:rsid w:val="00C54DFC"/>
    <w:rsid w:val="00C56530"/>
    <w:rsid w:val="00C57969"/>
    <w:rsid w:val="00C602F7"/>
    <w:rsid w:val="00C64577"/>
    <w:rsid w:val="00C6466F"/>
    <w:rsid w:val="00C646A3"/>
    <w:rsid w:val="00C646D5"/>
    <w:rsid w:val="00C64C2D"/>
    <w:rsid w:val="00C64F1F"/>
    <w:rsid w:val="00C666A6"/>
    <w:rsid w:val="00C669A1"/>
    <w:rsid w:val="00C66CF4"/>
    <w:rsid w:val="00C707A9"/>
    <w:rsid w:val="00C71418"/>
    <w:rsid w:val="00C72025"/>
    <w:rsid w:val="00C72F8F"/>
    <w:rsid w:val="00C740B2"/>
    <w:rsid w:val="00C76168"/>
    <w:rsid w:val="00C813FD"/>
    <w:rsid w:val="00C827E9"/>
    <w:rsid w:val="00C829F5"/>
    <w:rsid w:val="00C82AC3"/>
    <w:rsid w:val="00C83554"/>
    <w:rsid w:val="00C83F7D"/>
    <w:rsid w:val="00C85350"/>
    <w:rsid w:val="00C85467"/>
    <w:rsid w:val="00C85E1C"/>
    <w:rsid w:val="00C866F3"/>
    <w:rsid w:val="00C8778E"/>
    <w:rsid w:val="00C87AFD"/>
    <w:rsid w:val="00C87EF8"/>
    <w:rsid w:val="00C90424"/>
    <w:rsid w:val="00C91C5F"/>
    <w:rsid w:val="00C92276"/>
    <w:rsid w:val="00C9381C"/>
    <w:rsid w:val="00C94562"/>
    <w:rsid w:val="00C94A14"/>
    <w:rsid w:val="00C96803"/>
    <w:rsid w:val="00C97561"/>
    <w:rsid w:val="00CA08C5"/>
    <w:rsid w:val="00CA0C26"/>
    <w:rsid w:val="00CA2599"/>
    <w:rsid w:val="00CA3300"/>
    <w:rsid w:val="00CA41CB"/>
    <w:rsid w:val="00CA6241"/>
    <w:rsid w:val="00CA7711"/>
    <w:rsid w:val="00CA786E"/>
    <w:rsid w:val="00CB0CA2"/>
    <w:rsid w:val="00CB19AC"/>
    <w:rsid w:val="00CB1D59"/>
    <w:rsid w:val="00CB1E09"/>
    <w:rsid w:val="00CB3347"/>
    <w:rsid w:val="00CB33C8"/>
    <w:rsid w:val="00CB418D"/>
    <w:rsid w:val="00CB4CDE"/>
    <w:rsid w:val="00CB4D29"/>
    <w:rsid w:val="00CB4EE5"/>
    <w:rsid w:val="00CB572A"/>
    <w:rsid w:val="00CB5E2D"/>
    <w:rsid w:val="00CB63FF"/>
    <w:rsid w:val="00CB6DD0"/>
    <w:rsid w:val="00CB7AB5"/>
    <w:rsid w:val="00CB7E2A"/>
    <w:rsid w:val="00CC2017"/>
    <w:rsid w:val="00CC3C83"/>
    <w:rsid w:val="00CC3F1A"/>
    <w:rsid w:val="00CC522B"/>
    <w:rsid w:val="00CD0135"/>
    <w:rsid w:val="00CD05EA"/>
    <w:rsid w:val="00CD0843"/>
    <w:rsid w:val="00CD0E61"/>
    <w:rsid w:val="00CD1436"/>
    <w:rsid w:val="00CD2156"/>
    <w:rsid w:val="00CD3BFC"/>
    <w:rsid w:val="00CD3F7B"/>
    <w:rsid w:val="00CD3FCB"/>
    <w:rsid w:val="00CD46F7"/>
    <w:rsid w:val="00CD508E"/>
    <w:rsid w:val="00CD5BA4"/>
    <w:rsid w:val="00CD6327"/>
    <w:rsid w:val="00CD6A2F"/>
    <w:rsid w:val="00CD6B70"/>
    <w:rsid w:val="00CD7ED0"/>
    <w:rsid w:val="00CE1178"/>
    <w:rsid w:val="00CE3BFD"/>
    <w:rsid w:val="00CE5687"/>
    <w:rsid w:val="00CE5A91"/>
    <w:rsid w:val="00CE6155"/>
    <w:rsid w:val="00CF2BEB"/>
    <w:rsid w:val="00CF34E0"/>
    <w:rsid w:val="00CF45E9"/>
    <w:rsid w:val="00CF6A4C"/>
    <w:rsid w:val="00D00491"/>
    <w:rsid w:val="00D016E4"/>
    <w:rsid w:val="00D01C68"/>
    <w:rsid w:val="00D01D4B"/>
    <w:rsid w:val="00D020E8"/>
    <w:rsid w:val="00D03248"/>
    <w:rsid w:val="00D0443B"/>
    <w:rsid w:val="00D04E88"/>
    <w:rsid w:val="00D05B63"/>
    <w:rsid w:val="00D06A58"/>
    <w:rsid w:val="00D12ECB"/>
    <w:rsid w:val="00D13FD5"/>
    <w:rsid w:val="00D14634"/>
    <w:rsid w:val="00D15354"/>
    <w:rsid w:val="00D15794"/>
    <w:rsid w:val="00D158E0"/>
    <w:rsid w:val="00D16177"/>
    <w:rsid w:val="00D169F7"/>
    <w:rsid w:val="00D17CC1"/>
    <w:rsid w:val="00D2035D"/>
    <w:rsid w:val="00D20E12"/>
    <w:rsid w:val="00D21586"/>
    <w:rsid w:val="00D21822"/>
    <w:rsid w:val="00D21838"/>
    <w:rsid w:val="00D21CC8"/>
    <w:rsid w:val="00D240DA"/>
    <w:rsid w:val="00D24880"/>
    <w:rsid w:val="00D252FA"/>
    <w:rsid w:val="00D25696"/>
    <w:rsid w:val="00D25C10"/>
    <w:rsid w:val="00D26AB7"/>
    <w:rsid w:val="00D26ABE"/>
    <w:rsid w:val="00D2720F"/>
    <w:rsid w:val="00D31220"/>
    <w:rsid w:val="00D322C3"/>
    <w:rsid w:val="00D3260B"/>
    <w:rsid w:val="00D33D95"/>
    <w:rsid w:val="00D34124"/>
    <w:rsid w:val="00D3413E"/>
    <w:rsid w:val="00D35C8D"/>
    <w:rsid w:val="00D360D2"/>
    <w:rsid w:val="00D40DCB"/>
    <w:rsid w:val="00D40F1D"/>
    <w:rsid w:val="00D436CF"/>
    <w:rsid w:val="00D442F0"/>
    <w:rsid w:val="00D4500C"/>
    <w:rsid w:val="00D4570C"/>
    <w:rsid w:val="00D46D3A"/>
    <w:rsid w:val="00D46EB5"/>
    <w:rsid w:val="00D47498"/>
    <w:rsid w:val="00D47E41"/>
    <w:rsid w:val="00D51E33"/>
    <w:rsid w:val="00D51E9F"/>
    <w:rsid w:val="00D52758"/>
    <w:rsid w:val="00D530FC"/>
    <w:rsid w:val="00D56610"/>
    <w:rsid w:val="00D6046D"/>
    <w:rsid w:val="00D60A63"/>
    <w:rsid w:val="00D60F14"/>
    <w:rsid w:val="00D61832"/>
    <w:rsid w:val="00D618CB"/>
    <w:rsid w:val="00D61D44"/>
    <w:rsid w:val="00D61EDC"/>
    <w:rsid w:val="00D62991"/>
    <w:rsid w:val="00D640E0"/>
    <w:rsid w:val="00D6416A"/>
    <w:rsid w:val="00D64998"/>
    <w:rsid w:val="00D65EB9"/>
    <w:rsid w:val="00D66906"/>
    <w:rsid w:val="00D67086"/>
    <w:rsid w:val="00D67102"/>
    <w:rsid w:val="00D67E68"/>
    <w:rsid w:val="00D7025C"/>
    <w:rsid w:val="00D706A8"/>
    <w:rsid w:val="00D714BA"/>
    <w:rsid w:val="00D72585"/>
    <w:rsid w:val="00D738FF"/>
    <w:rsid w:val="00D73E2D"/>
    <w:rsid w:val="00D75D38"/>
    <w:rsid w:val="00D7677E"/>
    <w:rsid w:val="00D8017A"/>
    <w:rsid w:val="00D81419"/>
    <w:rsid w:val="00D815F2"/>
    <w:rsid w:val="00D821DF"/>
    <w:rsid w:val="00D82E92"/>
    <w:rsid w:val="00D85400"/>
    <w:rsid w:val="00D85AAF"/>
    <w:rsid w:val="00D86770"/>
    <w:rsid w:val="00D87468"/>
    <w:rsid w:val="00D87BFB"/>
    <w:rsid w:val="00D90484"/>
    <w:rsid w:val="00D90519"/>
    <w:rsid w:val="00D90B51"/>
    <w:rsid w:val="00D90C16"/>
    <w:rsid w:val="00D92C56"/>
    <w:rsid w:val="00D9392E"/>
    <w:rsid w:val="00D94300"/>
    <w:rsid w:val="00D954FC"/>
    <w:rsid w:val="00DA1862"/>
    <w:rsid w:val="00DA1A27"/>
    <w:rsid w:val="00DA2388"/>
    <w:rsid w:val="00DA45C7"/>
    <w:rsid w:val="00DA4A2F"/>
    <w:rsid w:val="00DA6A6C"/>
    <w:rsid w:val="00DA72C6"/>
    <w:rsid w:val="00DB03D0"/>
    <w:rsid w:val="00DB0855"/>
    <w:rsid w:val="00DB3715"/>
    <w:rsid w:val="00DB4EA8"/>
    <w:rsid w:val="00DB66F4"/>
    <w:rsid w:val="00DB79D8"/>
    <w:rsid w:val="00DB7DE0"/>
    <w:rsid w:val="00DC027E"/>
    <w:rsid w:val="00DC1540"/>
    <w:rsid w:val="00DC19DB"/>
    <w:rsid w:val="00DC4349"/>
    <w:rsid w:val="00DC4DD1"/>
    <w:rsid w:val="00DC5700"/>
    <w:rsid w:val="00DC57E8"/>
    <w:rsid w:val="00DC66D5"/>
    <w:rsid w:val="00DC6792"/>
    <w:rsid w:val="00DC70F2"/>
    <w:rsid w:val="00DC762F"/>
    <w:rsid w:val="00DD1B10"/>
    <w:rsid w:val="00DD2003"/>
    <w:rsid w:val="00DD2059"/>
    <w:rsid w:val="00DD228E"/>
    <w:rsid w:val="00DD4C24"/>
    <w:rsid w:val="00DD56D8"/>
    <w:rsid w:val="00DD6467"/>
    <w:rsid w:val="00DD6DA8"/>
    <w:rsid w:val="00DD79D3"/>
    <w:rsid w:val="00DE1197"/>
    <w:rsid w:val="00DE1E8B"/>
    <w:rsid w:val="00DE26FF"/>
    <w:rsid w:val="00DE2F44"/>
    <w:rsid w:val="00DE3578"/>
    <w:rsid w:val="00DE55AD"/>
    <w:rsid w:val="00DE56FC"/>
    <w:rsid w:val="00DE63AB"/>
    <w:rsid w:val="00DE63E4"/>
    <w:rsid w:val="00DE70E6"/>
    <w:rsid w:val="00DF1FC4"/>
    <w:rsid w:val="00DF2248"/>
    <w:rsid w:val="00DF3D96"/>
    <w:rsid w:val="00DF4368"/>
    <w:rsid w:val="00DF5450"/>
    <w:rsid w:val="00DF66A4"/>
    <w:rsid w:val="00DF67CE"/>
    <w:rsid w:val="00DF7C73"/>
    <w:rsid w:val="00E00084"/>
    <w:rsid w:val="00E02628"/>
    <w:rsid w:val="00E04565"/>
    <w:rsid w:val="00E05F5D"/>
    <w:rsid w:val="00E06493"/>
    <w:rsid w:val="00E066E2"/>
    <w:rsid w:val="00E07233"/>
    <w:rsid w:val="00E110D5"/>
    <w:rsid w:val="00E119C0"/>
    <w:rsid w:val="00E12164"/>
    <w:rsid w:val="00E17A64"/>
    <w:rsid w:val="00E20284"/>
    <w:rsid w:val="00E20928"/>
    <w:rsid w:val="00E210B5"/>
    <w:rsid w:val="00E21253"/>
    <w:rsid w:val="00E216FB"/>
    <w:rsid w:val="00E22B5F"/>
    <w:rsid w:val="00E24639"/>
    <w:rsid w:val="00E26A6F"/>
    <w:rsid w:val="00E302B1"/>
    <w:rsid w:val="00E31414"/>
    <w:rsid w:val="00E32FC0"/>
    <w:rsid w:val="00E33786"/>
    <w:rsid w:val="00E3444B"/>
    <w:rsid w:val="00E365C7"/>
    <w:rsid w:val="00E413C7"/>
    <w:rsid w:val="00E42063"/>
    <w:rsid w:val="00E42950"/>
    <w:rsid w:val="00E42A3B"/>
    <w:rsid w:val="00E43C4A"/>
    <w:rsid w:val="00E45558"/>
    <w:rsid w:val="00E45A7A"/>
    <w:rsid w:val="00E45CF5"/>
    <w:rsid w:val="00E4718E"/>
    <w:rsid w:val="00E478CB"/>
    <w:rsid w:val="00E47A58"/>
    <w:rsid w:val="00E51B0D"/>
    <w:rsid w:val="00E526E1"/>
    <w:rsid w:val="00E569C7"/>
    <w:rsid w:val="00E629FA"/>
    <w:rsid w:val="00E639FB"/>
    <w:rsid w:val="00E63EA7"/>
    <w:rsid w:val="00E6461E"/>
    <w:rsid w:val="00E64BA9"/>
    <w:rsid w:val="00E65CB9"/>
    <w:rsid w:val="00E65EF8"/>
    <w:rsid w:val="00E67F3E"/>
    <w:rsid w:val="00E73573"/>
    <w:rsid w:val="00E7387C"/>
    <w:rsid w:val="00E7534A"/>
    <w:rsid w:val="00E76053"/>
    <w:rsid w:val="00E76467"/>
    <w:rsid w:val="00E8073F"/>
    <w:rsid w:val="00E82CD9"/>
    <w:rsid w:val="00E83611"/>
    <w:rsid w:val="00E838E8"/>
    <w:rsid w:val="00E84B77"/>
    <w:rsid w:val="00E85800"/>
    <w:rsid w:val="00E85D4D"/>
    <w:rsid w:val="00E865E2"/>
    <w:rsid w:val="00E86620"/>
    <w:rsid w:val="00E903C4"/>
    <w:rsid w:val="00E90D4A"/>
    <w:rsid w:val="00E91149"/>
    <w:rsid w:val="00E924A8"/>
    <w:rsid w:val="00E924E1"/>
    <w:rsid w:val="00E926D1"/>
    <w:rsid w:val="00E9279E"/>
    <w:rsid w:val="00E92B98"/>
    <w:rsid w:val="00E95E4B"/>
    <w:rsid w:val="00E963C8"/>
    <w:rsid w:val="00E963EF"/>
    <w:rsid w:val="00E9745C"/>
    <w:rsid w:val="00EA1B94"/>
    <w:rsid w:val="00EA1F2C"/>
    <w:rsid w:val="00EA234D"/>
    <w:rsid w:val="00EA2ED2"/>
    <w:rsid w:val="00EA4271"/>
    <w:rsid w:val="00EA42AF"/>
    <w:rsid w:val="00EA439E"/>
    <w:rsid w:val="00EA53FB"/>
    <w:rsid w:val="00EA5B86"/>
    <w:rsid w:val="00EA5ED9"/>
    <w:rsid w:val="00EA7A28"/>
    <w:rsid w:val="00EB0819"/>
    <w:rsid w:val="00EB1677"/>
    <w:rsid w:val="00EB1E11"/>
    <w:rsid w:val="00EB347D"/>
    <w:rsid w:val="00EB3DCE"/>
    <w:rsid w:val="00EB3E1B"/>
    <w:rsid w:val="00EB43BE"/>
    <w:rsid w:val="00EB6472"/>
    <w:rsid w:val="00EB79C3"/>
    <w:rsid w:val="00EB79FA"/>
    <w:rsid w:val="00EB7F07"/>
    <w:rsid w:val="00EC1935"/>
    <w:rsid w:val="00EC2E1C"/>
    <w:rsid w:val="00EC32FF"/>
    <w:rsid w:val="00EC5476"/>
    <w:rsid w:val="00EC69E1"/>
    <w:rsid w:val="00EC77DD"/>
    <w:rsid w:val="00ED022A"/>
    <w:rsid w:val="00ED0A0C"/>
    <w:rsid w:val="00ED0A0D"/>
    <w:rsid w:val="00ED17D6"/>
    <w:rsid w:val="00ED1F26"/>
    <w:rsid w:val="00ED2461"/>
    <w:rsid w:val="00ED2AE0"/>
    <w:rsid w:val="00ED54E3"/>
    <w:rsid w:val="00ED54F0"/>
    <w:rsid w:val="00ED752E"/>
    <w:rsid w:val="00ED7CF3"/>
    <w:rsid w:val="00EE40DB"/>
    <w:rsid w:val="00EE4280"/>
    <w:rsid w:val="00EE4478"/>
    <w:rsid w:val="00EE484C"/>
    <w:rsid w:val="00EE525E"/>
    <w:rsid w:val="00EE7C2F"/>
    <w:rsid w:val="00EF1580"/>
    <w:rsid w:val="00EF1D36"/>
    <w:rsid w:val="00EF1E62"/>
    <w:rsid w:val="00EF283A"/>
    <w:rsid w:val="00EF30D2"/>
    <w:rsid w:val="00EF3806"/>
    <w:rsid w:val="00EF39A5"/>
    <w:rsid w:val="00EF3CC0"/>
    <w:rsid w:val="00EF3FAE"/>
    <w:rsid w:val="00EF42EF"/>
    <w:rsid w:val="00EF4A59"/>
    <w:rsid w:val="00EF54F2"/>
    <w:rsid w:val="00F00261"/>
    <w:rsid w:val="00F02F68"/>
    <w:rsid w:val="00F02F7D"/>
    <w:rsid w:val="00F03688"/>
    <w:rsid w:val="00F03D2E"/>
    <w:rsid w:val="00F03DEF"/>
    <w:rsid w:val="00F0470C"/>
    <w:rsid w:val="00F04A36"/>
    <w:rsid w:val="00F074FE"/>
    <w:rsid w:val="00F078A4"/>
    <w:rsid w:val="00F10B9C"/>
    <w:rsid w:val="00F1212F"/>
    <w:rsid w:val="00F1395D"/>
    <w:rsid w:val="00F14558"/>
    <w:rsid w:val="00F148FC"/>
    <w:rsid w:val="00F1519B"/>
    <w:rsid w:val="00F1608A"/>
    <w:rsid w:val="00F163DD"/>
    <w:rsid w:val="00F1690A"/>
    <w:rsid w:val="00F1697C"/>
    <w:rsid w:val="00F20CEA"/>
    <w:rsid w:val="00F20ECF"/>
    <w:rsid w:val="00F21481"/>
    <w:rsid w:val="00F21CD2"/>
    <w:rsid w:val="00F22EA0"/>
    <w:rsid w:val="00F23BDF"/>
    <w:rsid w:val="00F2422E"/>
    <w:rsid w:val="00F24770"/>
    <w:rsid w:val="00F24F6C"/>
    <w:rsid w:val="00F24FFD"/>
    <w:rsid w:val="00F261E9"/>
    <w:rsid w:val="00F30711"/>
    <w:rsid w:val="00F30C97"/>
    <w:rsid w:val="00F31993"/>
    <w:rsid w:val="00F3367F"/>
    <w:rsid w:val="00F33D43"/>
    <w:rsid w:val="00F3451F"/>
    <w:rsid w:val="00F3503A"/>
    <w:rsid w:val="00F35A7A"/>
    <w:rsid w:val="00F364B3"/>
    <w:rsid w:val="00F37C72"/>
    <w:rsid w:val="00F408BA"/>
    <w:rsid w:val="00F42254"/>
    <w:rsid w:val="00F42C8E"/>
    <w:rsid w:val="00F43009"/>
    <w:rsid w:val="00F433A4"/>
    <w:rsid w:val="00F44915"/>
    <w:rsid w:val="00F45EBA"/>
    <w:rsid w:val="00F475AA"/>
    <w:rsid w:val="00F47BF0"/>
    <w:rsid w:val="00F5128E"/>
    <w:rsid w:val="00F51E30"/>
    <w:rsid w:val="00F54B63"/>
    <w:rsid w:val="00F55305"/>
    <w:rsid w:val="00F57969"/>
    <w:rsid w:val="00F6000F"/>
    <w:rsid w:val="00F60A74"/>
    <w:rsid w:val="00F629E3"/>
    <w:rsid w:val="00F62AEE"/>
    <w:rsid w:val="00F630DA"/>
    <w:rsid w:val="00F63601"/>
    <w:rsid w:val="00F646FD"/>
    <w:rsid w:val="00F656C9"/>
    <w:rsid w:val="00F65EFD"/>
    <w:rsid w:val="00F66697"/>
    <w:rsid w:val="00F67ADA"/>
    <w:rsid w:val="00F70B62"/>
    <w:rsid w:val="00F70D89"/>
    <w:rsid w:val="00F70E95"/>
    <w:rsid w:val="00F728D3"/>
    <w:rsid w:val="00F7370B"/>
    <w:rsid w:val="00F73CFC"/>
    <w:rsid w:val="00F7503E"/>
    <w:rsid w:val="00F7661A"/>
    <w:rsid w:val="00F77379"/>
    <w:rsid w:val="00F77C5A"/>
    <w:rsid w:val="00F77ED4"/>
    <w:rsid w:val="00F83036"/>
    <w:rsid w:val="00F84205"/>
    <w:rsid w:val="00F84495"/>
    <w:rsid w:val="00F84F44"/>
    <w:rsid w:val="00F859A2"/>
    <w:rsid w:val="00F8644C"/>
    <w:rsid w:val="00F86C3F"/>
    <w:rsid w:val="00F876F7"/>
    <w:rsid w:val="00F90FC5"/>
    <w:rsid w:val="00F91067"/>
    <w:rsid w:val="00F9114E"/>
    <w:rsid w:val="00F91F44"/>
    <w:rsid w:val="00F93039"/>
    <w:rsid w:val="00F93D81"/>
    <w:rsid w:val="00FA076A"/>
    <w:rsid w:val="00FA15C8"/>
    <w:rsid w:val="00FA2B15"/>
    <w:rsid w:val="00FA3679"/>
    <w:rsid w:val="00FA36D7"/>
    <w:rsid w:val="00FA5713"/>
    <w:rsid w:val="00FB032C"/>
    <w:rsid w:val="00FB091F"/>
    <w:rsid w:val="00FB0BE3"/>
    <w:rsid w:val="00FB1CE0"/>
    <w:rsid w:val="00FB20CB"/>
    <w:rsid w:val="00FB2ED5"/>
    <w:rsid w:val="00FB314F"/>
    <w:rsid w:val="00FB4656"/>
    <w:rsid w:val="00FB5213"/>
    <w:rsid w:val="00FB5320"/>
    <w:rsid w:val="00FB5CB8"/>
    <w:rsid w:val="00FB633F"/>
    <w:rsid w:val="00FB6E81"/>
    <w:rsid w:val="00FB7C4F"/>
    <w:rsid w:val="00FB7EE9"/>
    <w:rsid w:val="00FC1785"/>
    <w:rsid w:val="00FC2FAA"/>
    <w:rsid w:val="00FC3003"/>
    <w:rsid w:val="00FC3252"/>
    <w:rsid w:val="00FC3393"/>
    <w:rsid w:val="00FC3BE7"/>
    <w:rsid w:val="00FC4D53"/>
    <w:rsid w:val="00FC6055"/>
    <w:rsid w:val="00FD0C7F"/>
    <w:rsid w:val="00FD123E"/>
    <w:rsid w:val="00FD3008"/>
    <w:rsid w:val="00FD465C"/>
    <w:rsid w:val="00FD4C80"/>
    <w:rsid w:val="00FD5B22"/>
    <w:rsid w:val="00FD6220"/>
    <w:rsid w:val="00FD6225"/>
    <w:rsid w:val="00FE14CA"/>
    <w:rsid w:val="00FE2D77"/>
    <w:rsid w:val="00FE4A33"/>
    <w:rsid w:val="00FE4C25"/>
    <w:rsid w:val="00FE5299"/>
    <w:rsid w:val="00FE5488"/>
    <w:rsid w:val="00FE6B2B"/>
    <w:rsid w:val="00FE6F3A"/>
    <w:rsid w:val="00FF0AAB"/>
    <w:rsid w:val="00FF0CCD"/>
    <w:rsid w:val="00FF0E7E"/>
    <w:rsid w:val="00FF18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543"/>
    <w:pPr>
      <w:spacing w:after="180"/>
    </w:pPr>
    <w:rPr>
      <w:rFonts w:eastAsia="Times New Roman"/>
      <w:lang w:val="en-GB"/>
    </w:rPr>
  </w:style>
  <w:style w:type="paragraph" w:styleId="Heading1">
    <w:name w:val="heading 1"/>
    <w:aliases w:val="H1,NMP Heading 1,app heading 1,l1,h1,Memo Heading 1,h11,h12,h13,h14,h15,h16,h17,h111,h121,h131,h141,h151,h161,h18,h112,h122,h132,h142,h152,h162,h19,h113,h123,h133,h143,h153,h163,1,Section of paper,Heading 1_a"/>
    <w:next w:val="Normal"/>
    <w:link w:val="Heading1Char"/>
    <w:uiPriority w:val="9"/>
    <w:qFormat/>
    <w:rsid w:val="009827F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h2,UNDERRUBRIK 1-2,2nd level,†berschrift 2,DO NOT USE_h2,h21"/>
    <w:basedOn w:val="Heading1"/>
    <w:next w:val="Normal"/>
    <w:qFormat/>
    <w:rsid w:val="009827FE"/>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
    <w:basedOn w:val="Heading2"/>
    <w:next w:val="Normal"/>
    <w:qFormat/>
    <w:rsid w:val="008C603E"/>
    <w:pPr>
      <w:numPr>
        <w:ilvl w:val="2"/>
      </w:numPr>
      <w:tabs>
        <w:tab w:val="left" w:pos="907"/>
      </w:tabs>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827FE"/>
    <w:pPr>
      <w:numPr>
        <w:ilvl w:val="3"/>
      </w:numPr>
      <w:outlineLvl w:val="3"/>
    </w:pPr>
    <w:rPr>
      <w:sz w:val="24"/>
    </w:rPr>
  </w:style>
  <w:style w:type="paragraph" w:styleId="Heading5">
    <w:name w:val="heading 5"/>
    <w:aliases w:val="h5,Heading5"/>
    <w:basedOn w:val="Heading4"/>
    <w:next w:val="Normal"/>
    <w:qFormat/>
    <w:rsid w:val="009827FE"/>
    <w:pPr>
      <w:numPr>
        <w:ilvl w:val="4"/>
      </w:numPr>
      <w:outlineLvl w:val="4"/>
    </w:pPr>
    <w:rPr>
      <w:sz w:val="22"/>
    </w:rPr>
  </w:style>
  <w:style w:type="paragraph" w:styleId="Heading6">
    <w:name w:val="heading 6"/>
    <w:basedOn w:val="Normal"/>
    <w:next w:val="Normal"/>
    <w:qFormat/>
    <w:rsid w:val="009827FE"/>
    <w:pPr>
      <w:keepNext/>
      <w:keepLines/>
      <w:numPr>
        <w:ilvl w:val="5"/>
        <w:numId w:val="1"/>
      </w:numPr>
      <w:overflowPunct w:val="0"/>
      <w:autoSpaceDE w:val="0"/>
      <w:autoSpaceDN w:val="0"/>
      <w:adjustRightInd w:val="0"/>
      <w:spacing w:before="120"/>
      <w:textAlignment w:val="baseline"/>
      <w:outlineLvl w:val="5"/>
    </w:pPr>
    <w:rPr>
      <w:rFonts w:ascii="Arial" w:hAnsi="Arial"/>
    </w:rPr>
  </w:style>
  <w:style w:type="paragraph" w:styleId="Heading7">
    <w:name w:val="heading 7"/>
    <w:basedOn w:val="Normal"/>
    <w:next w:val="Normal"/>
    <w:qFormat/>
    <w:rsid w:val="009827FE"/>
    <w:pPr>
      <w:keepNext/>
      <w:keepLines/>
      <w:numPr>
        <w:ilvl w:val="6"/>
        <w:numId w:val="1"/>
      </w:numPr>
      <w:overflowPunct w:val="0"/>
      <w:autoSpaceDE w:val="0"/>
      <w:autoSpaceDN w:val="0"/>
      <w:adjustRightInd w:val="0"/>
      <w:spacing w:before="120"/>
      <w:textAlignment w:val="baseline"/>
      <w:outlineLvl w:val="6"/>
    </w:pPr>
    <w:rPr>
      <w:rFonts w:ascii="Arial" w:hAnsi="Arial"/>
    </w:rPr>
  </w:style>
  <w:style w:type="paragraph" w:styleId="Heading8">
    <w:name w:val="heading 8"/>
    <w:basedOn w:val="Heading1"/>
    <w:next w:val="Normal"/>
    <w:qFormat/>
    <w:rsid w:val="009827FE"/>
    <w:pPr>
      <w:numPr>
        <w:ilvl w:val="7"/>
      </w:numPr>
      <w:outlineLvl w:val="7"/>
    </w:pPr>
  </w:style>
  <w:style w:type="paragraph" w:styleId="Heading9">
    <w:name w:val="heading 9"/>
    <w:basedOn w:val="Heading8"/>
    <w:next w:val="Normal"/>
    <w:qFormat/>
    <w:rsid w:val="009827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rsid w:val="00524543"/>
    <w:rPr>
      <w:b/>
    </w:rPr>
  </w:style>
  <w:style w:type="paragraph" w:customStyle="1" w:styleId="TAC">
    <w:name w:val="TAC"/>
    <w:basedOn w:val="Normal"/>
    <w:link w:val="TACChar"/>
    <w:rsid w:val="00524543"/>
    <w:pPr>
      <w:keepNext/>
      <w:keepLines/>
      <w:spacing w:after="0"/>
      <w:jc w:val="center"/>
    </w:pPr>
    <w:rPr>
      <w:rFonts w:ascii="Arial" w:hAnsi="Arial"/>
      <w:sz w:val="18"/>
    </w:rPr>
  </w:style>
  <w:style w:type="paragraph" w:customStyle="1" w:styleId="TH">
    <w:name w:val="TH"/>
    <w:basedOn w:val="Normal"/>
    <w:link w:val="THChar"/>
    <w:rsid w:val="00524543"/>
    <w:pPr>
      <w:keepNext/>
      <w:keepLines/>
      <w:spacing w:before="60"/>
      <w:jc w:val="center"/>
    </w:pPr>
    <w:rPr>
      <w:rFonts w:ascii="Arial" w:hAnsi="Arial"/>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link w:val="BodyTextChar"/>
    <w:rsid w:val="00524543"/>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rPr>
  </w:style>
  <w:style w:type="paragraph" w:styleId="Header">
    <w:name w:val="header"/>
    <w:rsid w:val="00524543"/>
    <w:pPr>
      <w:tabs>
        <w:tab w:val="center" w:pos="4320"/>
        <w:tab w:val="right" w:pos="8640"/>
      </w:tabs>
    </w:pPr>
    <w:rPr>
      <w:rFonts w:ascii="Arial" w:eastAsia="Times New Roman" w:hAnsi="Arial"/>
      <w:noProof/>
      <w:sz w:val="22"/>
    </w:rPr>
  </w:style>
  <w:style w:type="paragraph" w:customStyle="1" w:styleId="CRCoverPage">
    <w:name w:val="CR Cover Page"/>
    <w:rsid w:val="009827FE"/>
    <w:pPr>
      <w:spacing w:after="120"/>
    </w:pPr>
    <w:rPr>
      <w:rFonts w:ascii="Arial" w:eastAsia="Times New Roman" w:hAnsi="Arial"/>
      <w:lang w:val="en-GB"/>
    </w:rPr>
  </w:style>
  <w:style w:type="paragraph" w:customStyle="1" w:styleId="Referenceindisclosure">
    <w:name w:val="Reference in disclosure"/>
    <w:basedOn w:val="Normal"/>
    <w:rsid w:val="000B3D68"/>
    <w:pPr>
      <w:spacing w:after="0"/>
    </w:pPr>
    <w:rPr>
      <w:sz w:val="24"/>
      <w:szCs w:val="24"/>
      <w:lang w:val="en-US"/>
    </w:rPr>
  </w:style>
  <w:style w:type="paragraph" w:customStyle="1" w:styleId="B1">
    <w:name w:val="B1"/>
    <w:basedOn w:val="List"/>
    <w:rsid w:val="00A77812"/>
    <w:pPr>
      <w:overflowPunct w:val="0"/>
      <w:autoSpaceDE w:val="0"/>
      <w:autoSpaceDN w:val="0"/>
      <w:adjustRightInd w:val="0"/>
      <w:ind w:left="568" w:hanging="284"/>
      <w:textAlignment w:val="baseline"/>
    </w:pPr>
    <w:rPr>
      <w:lang w:eastAsia="en-GB"/>
    </w:rPr>
  </w:style>
  <w:style w:type="paragraph" w:styleId="List">
    <w:name w:val="List"/>
    <w:basedOn w:val="Normal"/>
    <w:rsid w:val="00A77812"/>
    <w:pPr>
      <w:ind w:left="283" w:hanging="283"/>
    </w:pPr>
  </w:style>
  <w:style w:type="paragraph" w:customStyle="1" w:styleId="TAN">
    <w:name w:val="TAN"/>
    <w:basedOn w:val="Normal"/>
    <w:rsid w:val="00616D7D"/>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msoins0">
    <w:name w:val="msoins"/>
    <w:basedOn w:val="DefaultParagraphFont"/>
    <w:rsid w:val="003B7F0F"/>
  </w:style>
  <w:style w:type="paragraph" w:styleId="FootnoteText">
    <w:name w:val="footnote text"/>
    <w:basedOn w:val="Normal"/>
    <w:semiHidden/>
    <w:rsid w:val="00B37C49"/>
  </w:style>
  <w:style w:type="character" w:styleId="FootnoteReference">
    <w:name w:val="footnote reference"/>
    <w:basedOn w:val="DefaultParagraphFont"/>
    <w:semiHidden/>
    <w:rsid w:val="00B37C49"/>
    <w:rPr>
      <w:vertAlign w:val="superscript"/>
    </w:rPr>
  </w:style>
  <w:style w:type="table" w:styleId="TableProfessional">
    <w:name w:val="Table Professional"/>
    <w:basedOn w:val="TableNormal"/>
    <w:rsid w:val="00583DDA"/>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DocumentMap">
    <w:name w:val="Document Map"/>
    <w:basedOn w:val="Normal"/>
    <w:semiHidden/>
    <w:rsid w:val="00F30C97"/>
    <w:pPr>
      <w:shd w:val="clear" w:color="auto" w:fill="000080"/>
    </w:pPr>
  </w:style>
  <w:style w:type="character" w:styleId="CommentReference">
    <w:name w:val="annotation reference"/>
    <w:basedOn w:val="DefaultParagraphFont"/>
    <w:semiHidden/>
    <w:rsid w:val="00F47BF0"/>
    <w:rPr>
      <w:sz w:val="21"/>
      <w:szCs w:val="21"/>
    </w:rPr>
  </w:style>
  <w:style w:type="paragraph" w:styleId="CommentText">
    <w:name w:val="annotation text"/>
    <w:basedOn w:val="Normal"/>
    <w:semiHidden/>
    <w:rsid w:val="00F47BF0"/>
  </w:style>
  <w:style w:type="paragraph" w:styleId="CommentSubject">
    <w:name w:val="annotation subject"/>
    <w:basedOn w:val="CommentText"/>
    <w:next w:val="CommentText"/>
    <w:semiHidden/>
    <w:rsid w:val="00F47BF0"/>
    <w:rPr>
      <w:b/>
      <w:bCs/>
    </w:rPr>
  </w:style>
  <w:style w:type="paragraph" w:styleId="BalloonText">
    <w:name w:val="Balloon Text"/>
    <w:basedOn w:val="Normal"/>
    <w:semiHidden/>
    <w:rsid w:val="00F47BF0"/>
    <w:rPr>
      <w:sz w:val="18"/>
      <w:szCs w:val="18"/>
    </w:rPr>
  </w:style>
  <w:style w:type="table" w:styleId="TableGrid">
    <w:name w:val="Table Grid"/>
    <w:basedOn w:val="TableNormal"/>
    <w:rsid w:val="00425D96"/>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425D96"/>
  </w:style>
  <w:style w:type="character" w:customStyle="1" w:styleId="Heading2Char">
    <w:name w:val="Heading 2 Char"/>
    <w:basedOn w:val="DefaultParagraphFont"/>
    <w:rsid w:val="00425D96"/>
    <w:rPr>
      <w:rFonts w:ascii="Cambria" w:eastAsia="Times New Roman" w:hAnsi="Cambria" w:cs="Times New Roman"/>
      <w:color w:val="365F91"/>
      <w:sz w:val="24"/>
      <w:szCs w:val="24"/>
    </w:rPr>
  </w:style>
  <w:style w:type="paragraph" w:styleId="Caption">
    <w:name w:val="caption"/>
    <w:basedOn w:val="Normal"/>
    <w:next w:val="Normal"/>
    <w:qFormat/>
    <w:rsid w:val="00425D96"/>
    <w:rPr>
      <w:rFonts w:ascii="Arial" w:eastAsia="SimHei" w:hAnsi="Arial" w:cs="Arial"/>
    </w:rPr>
  </w:style>
  <w:style w:type="paragraph" w:styleId="Footer">
    <w:name w:val="footer"/>
    <w:basedOn w:val="Normal"/>
    <w:link w:val="FooterChar"/>
    <w:rsid w:val="00070823"/>
    <w:pPr>
      <w:tabs>
        <w:tab w:val="center" w:pos="4153"/>
        <w:tab w:val="right" w:pos="8306"/>
      </w:tabs>
      <w:snapToGrid w:val="0"/>
    </w:pPr>
    <w:rPr>
      <w:sz w:val="18"/>
      <w:szCs w:val="18"/>
    </w:rPr>
  </w:style>
  <w:style w:type="character" w:customStyle="1" w:styleId="FooterChar">
    <w:name w:val="Footer Char"/>
    <w:basedOn w:val="DefaultParagraphFont"/>
    <w:link w:val="Footer"/>
    <w:rsid w:val="00070823"/>
    <w:rPr>
      <w:rFonts w:eastAsia="Times New Roman"/>
      <w:sz w:val="18"/>
      <w:szCs w:val="18"/>
      <w:lang w:val="en-GB" w:eastAsia="en-US"/>
    </w:rPr>
  </w:style>
  <w:style w:type="paragraph" w:customStyle="1" w:styleId="MTDisplayEquation">
    <w:name w:val="MTDisplayEquation"/>
    <w:basedOn w:val="Normal"/>
    <w:next w:val="Normal"/>
    <w:rsid w:val="00FE2D77"/>
    <w:pPr>
      <w:widowControl w:val="0"/>
      <w:tabs>
        <w:tab w:val="center" w:pos="4160"/>
        <w:tab w:val="right" w:pos="8300"/>
      </w:tabs>
      <w:spacing w:after="0"/>
      <w:jc w:val="center"/>
    </w:pPr>
    <w:rPr>
      <w:rFonts w:eastAsia="SimSun"/>
      <w:kern w:val="2"/>
      <w:sz w:val="21"/>
      <w:szCs w:val="24"/>
      <w:lang w:val="en-US" w:eastAsia="zh-CN"/>
    </w:rPr>
  </w:style>
  <w:style w:type="paragraph" w:customStyle="1" w:styleId="ZT">
    <w:name w:val="ZT"/>
    <w:rsid w:val="000A61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Hyperlink">
    <w:name w:val="Hyperlink"/>
    <w:basedOn w:val="DefaultParagraphFont"/>
    <w:rsid w:val="005D602C"/>
    <w:rPr>
      <w:color w:val="0000FF"/>
      <w:u w:val="single"/>
    </w:rPr>
  </w:style>
  <w:style w:type="character" w:styleId="Emphasis">
    <w:name w:val="Emphasis"/>
    <w:basedOn w:val="DefaultParagraphFont"/>
    <w:qFormat/>
    <w:rsid w:val="004D7BD3"/>
    <w:rPr>
      <w:b w:val="0"/>
      <w:bCs w:val="0"/>
      <w:i w:val="0"/>
      <w:iCs w:val="0"/>
      <w:color w:val="CC0033"/>
    </w:rPr>
  </w:style>
  <w:style w:type="paragraph" w:styleId="NormalWeb">
    <w:name w:val="Normal (Web)"/>
    <w:basedOn w:val="Normal"/>
    <w:uiPriority w:val="99"/>
    <w:rsid w:val="00870891"/>
    <w:pPr>
      <w:spacing w:before="100" w:beforeAutospacing="1" w:after="100" w:afterAutospacing="1"/>
    </w:pPr>
    <w:rPr>
      <w:rFonts w:ascii="SimSun" w:eastAsia="SimSun" w:hAnsi="SimSun" w:cs="SimSun"/>
      <w:sz w:val="24"/>
      <w:szCs w:val="24"/>
      <w:lang w:val="en-US" w:eastAsia="zh-CN"/>
    </w:rPr>
  </w:style>
  <w:style w:type="character" w:customStyle="1" w:styleId="shorttext1">
    <w:name w:val="short_text1"/>
    <w:basedOn w:val="DefaultParagraphFont"/>
    <w:rsid w:val="006B0808"/>
    <w:rPr>
      <w:sz w:val="29"/>
      <w:szCs w:val="29"/>
    </w:rPr>
  </w:style>
  <w:style w:type="character" w:customStyle="1" w:styleId="THChar">
    <w:name w:val="TH Char"/>
    <w:basedOn w:val="DefaultParagraphFont"/>
    <w:link w:val="TH"/>
    <w:rsid w:val="000940E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940EE"/>
    <w:rPr>
      <w:rFonts w:ascii="Arial" w:eastAsia="Times New Roman" w:hAnsi="Arial"/>
      <w:sz w:val="22"/>
      <w:lang w:val="en-US" w:eastAsia="en-US" w:bidi="ar-SA"/>
    </w:rPr>
  </w:style>
  <w:style w:type="paragraph" w:customStyle="1" w:styleId="TableText">
    <w:name w:val="TableText"/>
    <w:basedOn w:val="BodyTextIndent"/>
    <w:rsid w:val="000940EE"/>
    <w:pPr>
      <w:keepNext/>
      <w:keepLines/>
      <w:overflowPunct w:val="0"/>
      <w:autoSpaceDE w:val="0"/>
      <w:autoSpaceDN w:val="0"/>
      <w:adjustRightInd w:val="0"/>
      <w:spacing w:after="180"/>
      <w:ind w:leftChars="0" w:left="0"/>
      <w:jc w:val="center"/>
      <w:textAlignment w:val="baseline"/>
    </w:pPr>
    <w:rPr>
      <w:rFonts w:eastAsia="SimSun"/>
      <w:snapToGrid w:val="0"/>
      <w:kern w:val="2"/>
    </w:rPr>
  </w:style>
  <w:style w:type="character" w:customStyle="1" w:styleId="TACChar">
    <w:name w:val="TAC Char"/>
    <w:basedOn w:val="DefaultParagraphFont"/>
    <w:link w:val="TAC"/>
    <w:rsid w:val="000940EE"/>
    <w:rPr>
      <w:rFonts w:ascii="Arial" w:hAnsi="Arial"/>
      <w:sz w:val="18"/>
      <w:lang w:val="en-GB" w:eastAsia="en-US" w:bidi="ar-SA"/>
    </w:rPr>
  </w:style>
  <w:style w:type="paragraph" w:styleId="BodyTextIndent">
    <w:name w:val="Body Text Indent"/>
    <w:basedOn w:val="Normal"/>
    <w:rsid w:val="000940EE"/>
    <w:pPr>
      <w:spacing w:after="120"/>
      <w:ind w:leftChars="200" w:left="420"/>
    </w:pPr>
  </w:style>
  <w:style w:type="paragraph" w:customStyle="1" w:styleId="NO">
    <w:name w:val="NO"/>
    <w:basedOn w:val="Normal"/>
    <w:link w:val="NOChar"/>
    <w:rsid w:val="008C098E"/>
    <w:pPr>
      <w:keepLines/>
      <w:overflowPunct w:val="0"/>
      <w:autoSpaceDE w:val="0"/>
      <w:autoSpaceDN w:val="0"/>
      <w:adjustRightInd w:val="0"/>
      <w:ind w:left="1135" w:hanging="851"/>
      <w:textAlignment w:val="baseline"/>
    </w:pPr>
    <w:rPr>
      <w:rFonts w:eastAsia="SimSun"/>
      <w:lang w:eastAsia="en-GB"/>
    </w:rPr>
  </w:style>
  <w:style w:type="character" w:customStyle="1" w:styleId="NOChar">
    <w:name w:val="NO Char"/>
    <w:basedOn w:val="DefaultParagraphFont"/>
    <w:link w:val="NO"/>
    <w:rsid w:val="008C098E"/>
    <w:rPr>
      <w:rFonts w:eastAsia="SimSun"/>
      <w:lang w:val="en-GB" w:eastAsia="en-GB" w:bidi="ar-SA"/>
    </w:rPr>
  </w:style>
  <w:style w:type="paragraph" w:styleId="ListParagraph">
    <w:name w:val="List Paragraph"/>
    <w:basedOn w:val="Normal"/>
    <w:uiPriority w:val="34"/>
    <w:qFormat/>
    <w:rsid w:val="00E20284"/>
    <w:pPr>
      <w:spacing w:after="200" w:line="276" w:lineRule="auto"/>
      <w:ind w:left="720"/>
      <w:contextualSpacing/>
    </w:pPr>
    <w:rPr>
      <w:rFonts w:ascii="Calibri" w:eastAsia="Calibri" w:hAnsi="Calibri"/>
      <w:sz w:val="22"/>
      <w:szCs w:val="22"/>
      <w:lang w:val="en-US"/>
    </w:rPr>
  </w:style>
  <w:style w:type="character" w:customStyle="1" w:styleId="Heading1Char">
    <w:name w:val="Heading 1 Char"/>
    <w:aliases w:val="H1 Char,NMP Heading 1 Char,app heading 1 Char,l1 Char,h1 Char,Memo Heading 1 Char,h11 Char,h12 Char,h13 Char,h14 Char,h15 Char,h16 Char,h17 Char,h111 Char,h121 Char,h131 Char,h141 Char,h151 Char,h161 Char,h18 Char,h112 Char,h122 Char"/>
    <w:basedOn w:val="DefaultParagraphFont"/>
    <w:link w:val="Heading1"/>
    <w:uiPriority w:val="9"/>
    <w:rsid w:val="00E20284"/>
    <w:rPr>
      <w:rFonts w:ascii="Arial" w:eastAsia="Times New Roman" w:hAnsi="Arial"/>
      <w:sz w:val="36"/>
      <w:lang w:val="en-GB" w:eastAsia="en-US" w:bidi="ar-SA"/>
    </w:rPr>
  </w:style>
  <w:style w:type="paragraph" w:customStyle="1" w:styleId="msolistparagraph0">
    <w:name w:val="msolistparagraph"/>
    <w:basedOn w:val="Normal"/>
    <w:rsid w:val="00D35C8D"/>
    <w:pPr>
      <w:spacing w:after="200" w:line="276" w:lineRule="auto"/>
      <w:ind w:left="720"/>
    </w:pPr>
    <w:rPr>
      <w:rFonts w:ascii="Calibri" w:eastAsia="SimSun" w:hAnsi="Calibri" w:cs="SimSun"/>
      <w:sz w:val="22"/>
      <w:szCs w:val="22"/>
      <w:lang w:val="en-US" w:eastAsia="zh-CN"/>
    </w:rPr>
  </w:style>
  <w:style w:type="paragraph" w:styleId="Revision">
    <w:name w:val="Revision"/>
    <w:hidden/>
    <w:uiPriority w:val="99"/>
    <w:semiHidden/>
    <w:rsid w:val="00242342"/>
    <w:rPr>
      <w:rFonts w:eastAsia="Times New Roman"/>
      <w:lang w:val="en-GB"/>
    </w:rPr>
  </w:style>
  <w:style w:type="character" w:styleId="PlaceholderText">
    <w:name w:val="Placeholder Text"/>
    <w:basedOn w:val="DefaultParagraphFont"/>
    <w:uiPriority w:val="99"/>
    <w:semiHidden/>
    <w:rsid w:val="00F03DEF"/>
    <w:rPr>
      <w:color w:val="808080"/>
    </w:rPr>
  </w:style>
  <w:style w:type="paragraph" w:customStyle="1" w:styleId="body">
    <w:name w:val="body"/>
    <w:basedOn w:val="Normal"/>
    <w:link w:val="bodyChar"/>
    <w:rsid w:val="00A662BF"/>
    <w:pPr>
      <w:tabs>
        <w:tab w:val="left" w:pos="2160"/>
      </w:tabs>
      <w:spacing w:before="120" w:after="40"/>
      <w:ind w:left="720"/>
    </w:pPr>
    <w:rPr>
      <w:sz w:val="22"/>
      <w:lang w:val="en-US"/>
    </w:rPr>
  </w:style>
  <w:style w:type="character" w:customStyle="1" w:styleId="bodyChar">
    <w:name w:val="body Char"/>
    <w:basedOn w:val="DefaultParagraphFont"/>
    <w:link w:val="body"/>
    <w:rsid w:val="00A662BF"/>
    <w:rPr>
      <w:rFonts w:eastAsia="Times New Roman"/>
      <w:sz w:val="22"/>
    </w:rPr>
  </w:style>
  <w:style w:type="table" w:customStyle="1" w:styleId="LightGrid-Accent11">
    <w:name w:val="Light Grid - Accent 11"/>
    <w:basedOn w:val="TableNormal"/>
    <w:uiPriority w:val="62"/>
    <w:rsid w:val="00A662BF"/>
    <w:rPr>
      <w:rFonts w:eastAsia="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r="http://schemas.openxmlformats.org/officeDocument/2006/relationships" xmlns:w="http://schemas.openxmlformats.org/wordprocessingml/2006/main">
  <w:divs>
    <w:div w:id="30959998">
      <w:bodyDiv w:val="1"/>
      <w:marLeft w:val="0"/>
      <w:marRight w:val="0"/>
      <w:marTop w:val="0"/>
      <w:marBottom w:val="0"/>
      <w:divBdr>
        <w:top w:val="none" w:sz="0" w:space="0" w:color="auto"/>
        <w:left w:val="none" w:sz="0" w:space="0" w:color="auto"/>
        <w:bottom w:val="none" w:sz="0" w:space="0" w:color="auto"/>
        <w:right w:val="none" w:sz="0" w:space="0" w:color="auto"/>
      </w:divBdr>
    </w:div>
    <w:div w:id="69734189">
      <w:bodyDiv w:val="1"/>
      <w:marLeft w:val="0"/>
      <w:marRight w:val="0"/>
      <w:marTop w:val="0"/>
      <w:marBottom w:val="0"/>
      <w:divBdr>
        <w:top w:val="none" w:sz="0" w:space="0" w:color="auto"/>
        <w:left w:val="none" w:sz="0" w:space="0" w:color="auto"/>
        <w:bottom w:val="none" w:sz="0" w:space="0" w:color="auto"/>
        <w:right w:val="none" w:sz="0" w:space="0" w:color="auto"/>
      </w:divBdr>
    </w:div>
    <w:div w:id="159589351">
      <w:bodyDiv w:val="1"/>
      <w:marLeft w:val="0"/>
      <w:marRight w:val="0"/>
      <w:marTop w:val="0"/>
      <w:marBottom w:val="0"/>
      <w:divBdr>
        <w:top w:val="none" w:sz="0" w:space="0" w:color="auto"/>
        <w:left w:val="none" w:sz="0" w:space="0" w:color="auto"/>
        <w:bottom w:val="none" w:sz="0" w:space="0" w:color="auto"/>
        <w:right w:val="none" w:sz="0" w:space="0" w:color="auto"/>
      </w:divBdr>
      <w:divsChild>
        <w:div w:id="1643005176">
          <w:marLeft w:val="0"/>
          <w:marRight w:val="0"/>
          <w:marTop w:val="0"/>
          <w:marBottom w:val="0"/>
          <w:divBdr>
            <w:top w:val="none" w:sz="0" w:space="0" w:color="auto"/>
            <w:left w:val="none" w:sz="0" w:space="0" w:color="auto"/>
            <w:bottom w:val="none" w:sz="0" w:space="0" w:color="auto"/>
            <w:right w:val="none" w:sz="0" w:space="0" w:color="auto"/>
          </w:divBdr>
          <w:divsChild>
            <w:div w:id="351130">
              <w:marLeft w:val="0"/>
              <w:marRight w:val="0"/>
              <w:marTop w:val="0"/>
              <w:marBottom w:val="0"/>
              <w:divBdr>
                <w:top w:val="none" w:sz="0" w:space="0" w:color="auto"/>
                <w:left w:val="none" w:sz="0" w:space="0" w:color="auto"/>
                <w:bottom w:val="none" w:sz="0" w:space="0" w:color="auto"/>
                <w:right w:val="none" w:sz="0" w:space="0" w:color="auto"/>
              </w:divBdr>
            </w:div>
            <w:div w:id="168444542">
              <w:marLeft w:val="0"/>
              <w:marRight w:val="0"/>
              <w:marTop w:val="0"/>
              <w:marBottom w:val="0"/>
              <w:divBdr>
                <w:top w:val="none" w:sz="0" w:space="0" w:color="auto"/>
                <w:left w:val="none" w:sz="0" w:space="0" w:color="auto"/>
                <w:bottom w:val="none" w:sz="0" w:space="0" w:color="auto"/>
                <w:right w:val="none" w:sz="0" w:space="0" w:color="auto"/>
              </w:divBdr>
            </w:div>
            <w:div w:id="425541432">
              <w:marLeft w:val="0"/>
              <w:marRight w:val="0"/>
              <w:marTop w:val="0"/>
              <w:marBottom w:val="0"/>
              <w:divBdr>
                <w:top w:val="none" w:sz="0" w:space="0" w:color="auto"/>
                <w:left w:val="none" w:sz="0" w:space="0" w:color="auto"/>
                <w:bottom w:val="none" w:sz="0" w:space="0" w:color="auto"/>
                <w:right w:val="none" w:sz="0" w:space="0" w:color="auto"/>
              </w:divBdr>
            </w:div>
            <w:div w:id="1095979631">
              <w:marLeft w:val="0"/>
              <w:marRight w:val="0"/>
              <w:marTop w:val="0"/>
              <w:marBottom w:val="0"/>
              <w:divBdr>
                <w:top w:val="none" w:sz="0" w:space="0" w:color="auto"/>
                <w:left w:val="none" w:sz="0" w:space="0" w:color="auto"/>
                <w:bottom w:val="none" w:sz="0" w:space="0" w:color="auto"/>
                <w:right w:val="none" w:sz="0" w:space="0" w:color="auto"/>
              </w:divBdr>
            </w:div>
            <w:div w:id="1251042755">
              <w:marLeft w:val="0"/>
              <w:marRight w:val="0"/>
              <w:marTop w:val="0"/>
              <w:marBottom w:val="0"/>
              <w:divBdr>
                <w:top w:val="none" w:sz="0" w:space="0" w:color="auto"/>
                <w:left w:val="none" w:sz="0" w:space="0" w:color="auto"/>
                <w:bottom w:val="none" w:sz="0" w:space="0" w:color="auto"/>
                <w:right w:val="none" w:sz="0" w:space="0" w:color="auto"/>
              </w:divBdr>
            </w:div>
            <w:div w:id="1887184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347332">
      <w:bodyDiv w:val="1"/>
      <w:marLeft w:val="0"/>
      <w:marRight w:val="0"/>
      <w:marTop w:val="0"/>
      <w:marBottom w:val="0"/>
      <w:divBdr>
        <w:top w:val="none" w:sz="0" w:space="0" w:color="auto"/>
        <w:left w:val="none" w:sz="0" w:space="0" w:color="auto"/>
        <w:bottom w:val="none" w:sz="0" w:space="0" w:color="auto"/>
        <w:right w:val="none" w:sz="0" w:space="0" w:color="auto"/>
      </w:divBdr>
    </w:div>
    <w:div w:id="284655493">
      <w:bodyDiv w:val="1"/>
      <w:marLeft w:val="0"/>
      <w:marRight w:val="0"/>
      <w:marTop w:val="0"/>
      <w:marBottom w:val="0"/>
      <w:divBdr>
        <w:top w:val="none" w:sz="0" w:space="0" w:color="auto"/>
        <w:left w:val="none" w:sz="0" w:space="0" w:color="auto"/>
        <w:bottom w:val="none" w:sz="0" w:space="0" w:color="auto"/>
        <w:right w:val="none" w:sz="0" w:space="0" w:color="auto"/>
      </w:divBdr>
      <w:divsChild>
        <w:div w:id="845707623">
          <w:marLeft w:val="0"/>
          <w:marRight w:val="0"/>
          <w:marTop w:val="0"/>
          <w:marBottom w:val="0"/>
          <w:divBdr>
            <w:top w:val="none" w:sz="0" w:space="0" w:color="auto"/>
            <w:left w:val="none" w:sz="0" w:space="0" w:color="auto"/>
            <w:bottom w:val="none" w:sz="0" w:space="0" w:color="auto"/>
            <w:right w:val="none" w:sz="0" w:space="0" w:color="auto"/>
          </w:divBdr>
          <w:divsChild>
            <w:div w:id="430903493">
              <w:marLeft w:val="0"/>
              <w:marRight w:val="0"/>
              <w:marTop w:val="0"/>
              <w:marBottom w:val="0"/>
              <w:divBdr>
                <w:top w:val="none" w:sz="0" w:space="0" w:color="auto"/>
                <w:left w:val="none" w:sz="0" w:space="0" w:color="auto"/>
                <w:bottom w:val="none" w:sz="0" w:space="0" w:color="auto"/>
                <w:right w:val="none" w:sz="0" w:space="0" w:color="auto"/>
              </w:divBdr>
            </w:div>
            <w:div w:id="1474984404">
              <w:marLeft w:val="0"/>
              <w:marRight w:val="0"/>
              <w:marTop w:val="0"/>
              <w:marBottom w:val="0"/>
              <w:divBdr>
                <w:top w:val="none" w:sz="0" w:space="0" w:color="auto"/>
                <w:left w:val="none" w:sz="0" w:space="0" w:color="auto"/>
                <w:bottom w:val="none" w:sz="0" w:space="0" w:color="auto"/>
                <w:right w:val="none" w:sz="0" w:space="0" w:color="auto"/>
              </w:divBdr>
            </w:div>
            <w:div w:id="1552614522">
              <w:marLeft w:val="0"/>
              <w:marRight w:val="0"/>
              <w:marTop w:val="0"/>
              <w:marBottom w:val="0"/>
              <w:divBdr>
                <w:top w:val="none" w:sz="0" w:space="0" w:color="auto"/>
                <w:left w:val="none" w:sz="0" w:space="0" w:color="auto"/>
                <w:bottom w:val="none" w:sz="0" w:space="0" w:color="auto"/>
                <w:right w:val="none" w:sz="0" w:space="0" w:color="auto"/>
              </w:divBdr>
            </w:div>
            <w:div w:id="1707483161">
              <w:marLeft w:val="0"/>
              <w:marRight w:val="0"/>
              <w:marTop w:val="0"/>
              <w:marBottom w:val="0"/>
              <w:divBdr>
                <w:top w:val="none" w:sz="0" w:space="0" w:color="auto"/>
                <w:left w:val="none" w:sz="0" w:space="0" w:color="auto"/>
                <w:bottom w:val="none" w:sz="0" w:space="0" w:color="auto"/>
                <w:right w:val="none" w:sz="0" w:space="0" w:color="auto"/>
              </w:divBdr>
            </w:div>
            <w:div w:id="189958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285957">
      <w:bodyDiv w:val="1"/>
      <w:marLeft w:val="0"/>
      <w:marRight w:val="0"/>
      <w:marTop w:val="0"/>
      <w:marBottom w:val="0"/>
      <w:divBdr>
        <w:top w:val="none" w:sz="0" w:space="0" w:color="auto"/>
        <w:left w:val="none" w:sz="0" w:space="0" w:color="auto"/>
        <w:bottom w:val="none" w:sz="0" w:space="0" w:color="auto"/>
        <w:right w:val="none" w:sz="0" w:space="0" w:color="auto"/>
      </w:divBdr>
      <w:divsChild>
        <w:div w:id="404887370">
          <w:marLeft w:val="0"/>
          <w:marRight w:val="0"/>
          <w:marTop w:val="0"/>
          <w:marBottom w:val="0"/>
          <w:divBdr>
            <w:top w:val="none" w:sz="0" w:space="0" w:color="auto"/>
            <w:left w:val="none" w:sz="0" w:space="0" w:color="auto"/>
            <w:bottom w:val="none" w:sz="0" w:space="0" w:color="auto"/>
            <w:right w:val="none" w:sz="0" w:space="0" w:color="auto"/>
          </w:divBdr>
          <w:divsChild>
            <w:div w:id="149248787">
              <w:marLeft w:val="0"/>
              <w:marRight w:val="0"/>
              <w:marTop w:val="0"/>
              <w:marBottom w:val="0"/>
              <w:divBdr>
                <w:top w:val="none" w:sz="0" w:space="0" w:color="auto"/>
                <w:left w:val="none" w:sz="0" w:space="0" w:color="auto"/>
                <w:bottom w:val="none" w:sz="0" w:space="0" w:color="auto"/>
                <w:right w:val="none" w:sz="0" w:space="0" w:color="auto"/>
              </w:divBdr>
            </w:div>
            <w:div w:id="1458142046">
              <w:marLeft w:val="0"/>
              <w:marRight w:val="0"/>
              <w:marTop w:val="0"/>
              <w:marBottom w:val="0"/>
              <w:divBdr>
                <w:top w:val="none" w:sz="0" w:space="0" w:color="auto"/>
                <w:left w:val="none" w:sz="0" w:space="0" w:color="auto"/>
                <w:bottom w:val="none" w:sz="0" w:space="0" w:color="auto"/>
                <w:right w:val="none" w:sz="0" w:space="0" w:color="auto"/>
              </w:divBdr>
            </w:div>
            <w:div w:id="16527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762888">
      <w:bodyDiv w:val="1"/>
      <w:marLeft w:val="0"/>
      <w:marRight w:val="0"/>
      <w:marTop w:val="0"/>
      <w:marBottom w:val="0"/>
      <w:divBdr>
        <w:top w:val="none" w:sz="0" w:space="0" w:color="auto"/>
        <w:left w:val="none" w:sz="0" w:space="0" w:color="auto"/>
        <w:bottom w:val="none" w:sz="0" w:space="0" w:color="auto"/>
        <w:right w:val="none" w:sz="0" w:space="0" w:color="auto"/>
      </w:divBdr>
    </w:div>
    <w:div w:id="438184635">
      <w:bodyDiv w:val="1"/>
      <w:marLeft w:val="0"/>
      <w:marRight w:val="0"/>
      <w:marTop w:val="0"/>
      <w:marBottom w:val="0"/>
      <w:divBdr>
        <w:top w:val="none" w:sz="0" w:space="0" w:color="auto"/>
        <w:left w:val="none" w:sz="0" w:space="0" w:color="auto"/>
        <w:bottom w:val="none" w:sz="0" w:space="0" w:color="auto"/>
        <w:right w:val="none" w:sz="0" w:space="0" w:color="auto"/>
      </w:divBdr>
      <w:divsChild>
        <w:div w:id="621155206">
          <w:marLeft w:val="0"/>
          <w:marRight w:val="0"/>
          <w:marTop w:val="0"/>
          <w:marBottom w:val="0"/>
          <w:divBdr>
            <w:top w:val="none" w:sz="0" w:space="0" w:color="auto"/>
            <w:left w:val="none" w:sz="0" w:space="0" w:color="auto"/>
            <w:bottom w:val="none" w:sz="0" w:space="0" w:color="auto"/>
            <w:right w:val="none" w:sz="0" w:space="0" w:color="auto"/>
          </w:divBdr>
        </w:div>
      </w:divsChild>
    </w:div>
    <w:div w:id="452214362">
      <w:bodyDiv w:val="1"/>
      <w:marLeft w:val="0"/>
      <w:marRight w:val="0"/>
      <w:marTop w:val="0"/>
      <w:marBottom w:val="0"/>
      <w:divBdr>
        <w:top w:val="none" w:sz="0" w:space="0" w:color="auto"/>
        <w:left w:val="none" w:sz="0" w:space="0" w:color="auto"/>
        <w:bottom w:val="none" w:sz="0" w:space="0" w:color="auto"/>
        <w:right w:val="none" w:sz="0" w:space="0" w:color="auto"/>
      </w:divBdr>
    </w:div>
    <w:div w:id="504442502">
      <w:bodyDiv w:val="1"/>
      <w:marLeft w:val="0"/>
      <w:marRight w:val="0"/>
      <w:marTop w:val="0"/>
      <w:marBottom w:val="0"/>
      <w:divBdr>
        <w:top w:val="none" w:sz="0" w:space="0" w:color="auto"/>
        <w:left w:val="none" w:sz="0" w:space="0" w:color="auto"/>
        <w:bottom w:val="none" w:sz="0" w:space="0" w:color="auto"/>
        <w:right w:val="none" w:sz="0" w:space="0" w:color="auto"/>
      </w:divBdr>
    </w:div>
    <w:div w:id="592400768">
      <w:bodyDiv w:val="1"/>
      <w:marLeft w:val="0"/>
      <w:marRight w:val="0"/>
      <w:marTop w:val="0"/>
      <w:marBottom w:val="0"/>
      <w:divBdr>
        <w:top w:val="none" w:sz="0" w:space="0" w:color="auto"/>
        <w:left w:val="none" w:sz="0" w:space="0" w:color="auto"/>
        <w:bottom w:val="none" w:sz="0" w:space="0" w:color="auto"/>
        <w:right w:val="none" w:sz="0" w:space="0" w:color="auto"/>
      </w:divBdr>
      <w:divsChild>
        <w:div w:id="658114211">
          <w:marLeft w:val="0"/>
          <w:marRight w:val="0"/>
          <w:marTop w:val="0"/>
          <w:marBottom w:val="0"/>
          <w:divBdr>
            <w:top w:val="none" w:sz="0" w:space="0" w:color="auto"/>
            <w:left w:val="none" w:sz="0" w:space="0" w:color="auto"/>
            <w:bottom w:val="none" w:sz="0" w:space="0" w:color="auto"/>
            <w:right w:val="none" w:sz="0" w:space="0" w:color="auto"/>
          </w:divBdr>
          <w:divsChild>
            <w:div w:id="1098912016">
              <w:marLeft w:val="0"/>
              <w:marRight w:val="0"/>
              <w:marTop w:val="0"/>
              <w:marBottom w:val="0"/>
              <w:divBdr>
                <w:top w:val="none" w:sz="0" w:space="0" w:color="auto"/>
                <w:left w:val="none" w:sz="0" w:space="0" w:color="auto"/>
                <w:bottom w:val="none" w:sz="0" w:space="0" w:color="auto"/>
                <w:right w:val="none" w:sz="0" w:space="0" w:color="auto"/>
              </w:divBdr>
            </w:div>
            <w:div w:id="1398549937">
              <w:marLeft w:val="0"/>
              <w:marRight w:val="0"/>
              <w:marTop w:val="0"/>
              <w:marBottom w:val="0"/>
              <w:divBdr>
                <w:top w:val="none" w:sz="0" w:space="0" w:color="auto"/>
                <w:left w:val="none" w:sz="0" w:space="0" w:color="auto"/>
                <w:bottom w:val="none" w:sz="0" w:space="0" w:color="auto"/>
                <w:right w:val="none" w:sz="0" w:space="0" w:color="auto"/>
              </w:divBdr>
            </w:div>
            <w:div w:id="1409032180">
              <w:marLeft w:val="0"/>
              <w:marRight w:val="0"/>
              <w:marTop w:val="0"/>
              <w:marBottom w:val="0"/>
              <w:divBdr>
                <w:top w:val="none" w:sz="0" w:space="0" w:color="auto"/>
                <w:left w:val="none" w:sz="0" w:space="0" w:color="auto"/>
                <w:bottom w:val="none" w:sz="0" w:space="0" w:color="auto"/>
                <w:right w:val="none" w:sz="0" w:space="0" w:color="auto"/>
              </w:divBdr>
            </w:div>
            <w:div w:id="1515192893">
              <w:marLeft w:val="0"/>
              <w:marRight w:val="0"/>
              <w:marTop w:val="0"/>
              <w:marBottom w:val="0"/>
              <w:divBdr>
                <w:top w:val="none" w:sz="0" w:space="0" w:color="auto"/>
                <w:left w:val="none" w:sz="0" w:space="0" w:color="auto"/>
                <w:bottom w:val="none" w:sz="0" w:space="0" w:color="auto"/>
                <w:right w:val="none" w:sz="0" w:space="0" w:color="auto"/>
              </w:divBdr>
            </w:div>
            <w:div w:id="164249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301262">
      <w:bodyDiv w:val="1"/>
      <w:marLeft w:val="0"/>
      <w:marRight w:val="0"/>
      <w:marTop w:val="0"/>
      <w:marBottom w:val="0"/>
      <w:divBdr>
        <w:top w:val="none" w:sz="0" w:space="0" w:color="auto"/>
        <w:left w:val="none" w:sz="0" w:space="0" w:color="auto"/>
        <w:bottom w:val="none" w:sz="0" w:space="0" w:color="auto"/>
        <w:right w:val="none" w:sz="0" w:space="0" w:color="auto"/>
      </w:divBdr>
      <w:divsChild>
        <w:div w:id="1841694815">
          <w:marLeft w:val="0"/>
          <w:marRight w:val="0"/>
          <w:marTop w:val="0"/>
          <w:marBottom w:val="0"/>
          <w:divBdr>
            <w:top w:val="none" w:sz="0" w:space="0" w:color="auto"/>
            <w:left w:val="none" w:sz="0" w:space="0" w:color="auto"/>
            <w:bottom w:val="none" w:sz="0" w:space="0" w:color="auto"/>
            <w:right w:val="none" w:sz="0" w:space="0" w:color="auto"/>
          </w:divBdr>
          <w:divsChild>
            <w:div w:id="396518455">
              <w:marLeft w:val="0"/>
              <w:marRight w:val="0"/>
              <w:marTop w:val="0"/>
              <w:marBottom w:val="0"/>
              <w:divBdr>
                <w:top w:val="none" w:sz="0" w:space="0" w:color="auto"/>
                <w:left w:val="none" w:sz="0" w:space="0" w:color="auto"/>
                <w:bottom w:val="none" w:sz="0" w:space="0" w:color="auto"/>
                <w:right w:val="none" w:sz="0" w:space="0" w:color="auto"/>
              </w:divBdr>
            </w:div>
            <w:div w:id="819687605">
              <w:marLeft w:val="0"/>
              <w:marRight w:val="0"/>
              <w:marTop w:val="0"/>
              <w:marBottom w:val="0"/>
              <w:divBdr>
                <w:top w:val="none" w:sz="0" w:space="0" w:color="auto"/>
                <w:left w:val="none" w:sz="0" w:space="0" w:color="auto"/>
                <w:bottom w:val="none" w:sz="0" w:space="0" w:color="auto"/>
                <w:right w:val="none" w:sz="0" w:space="0" w:color="auto"/>
              </w:divBdr>
            </w:div>
            <w:div w:id="926839470">
              <w:marLeft w:val="0"/>
              <w:marRight w:val="0"/>
              <w:marTop w:val="0"/>
              <w:marBottom w:val="0"/>
              <w:divBdr>
                <w:top w:val="none" w:sz="0" w:space="0" w:color="auto"/>
                <w:left w:val="none" w:sz="0" w:space="0" w:color="auto"/>
                <w:bottom w:val="none" w:sz="0" w:space="0" w:color="auto"/>
                <w:right w:val="none" w:sz="0" w:space="0" w:color="auto"/>
              </w:divBdr>
            </w:div>
            <w:div w:id="942414815">
              <w:marLeft w:val="0"/>
              <w:marRight w:val="0"/>
              <w:marTop w:val="0"/>
              <w:marBottom w:val="0"/>
              <w:divBdr>
                <w:top w:val="none" w:sz="0" w:space="0" w:color="auto"/>
                <w:left w:val="none" w:sz="0" w:space="0" w:color="auto"/>
                <w:bottom w:val="none" w:sz="0" w:space="0" w:color="auto"/>
                <w:right w:val="none" w:sz="0" w:space="0" w:color="auto"/>
              </w:divBdr>
            </w:div>
            <w:div w:id="1475103536">
              <w:marLeft w:val="0"/>
              <w:marRight w:val="0"/>
              <w:marTop w:val="0"/>
              <w:marBottom w:val="0"/>
              <w:divBdr>
                <w:top w:val="none" w:sz="0" w:space="0" w:color="auto"/>
                <w:left w:val="none" w:sz="0" w:space="0" w:color="auto"/>
                <w:bottom w:val="none" w:sz="0" w:space="0" w:color="auto"/>
                <w:right w:val="none" w:sz="0" w:space="0" w:color="auto"/>
              </w:divBdr>
            </w:div>
            <w:div w:id="184604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216822">
      <w:bodyDiv w:val="1"/>
      <w:marLeft w:val="0"/>
      <w:marRight w:val="0"/>
      <w:marTop w:val="0"/>
      <w:marBottom w:val="0"/>
      <w:divBdr>
        <w:top w:val="none" w:sz="0" w:space="0" w:color="auto"/>
        <w:left w:val="none" w:sz="0" w:space="0" w:color="auto"/>
        <w:bottom w:val="none" w:sz="0" w:space="0" w:color="auto"/>
        <w:right w:val="none" w:sz="0" w:space="0" w:color="auto"/>
      </w:divBdr>
    </w:div>
    <w:div w:id="662510425">
      <w:bodyDiv w:val="1"/>
      <w:marLeft w:val="0"/>
      <w:marRight w:val="0"/>
      <w:marTop w:val="0"/>
      <w:marBottom w:val="0"/>
      <w:divBdr>
        <w:top w:val="none" w:sz="0" w:space="0" w:color="auto"/>
        <w:left w:val="none" w:sz="0" w:space="0" w:color="auto"/>
        <w:bottom w:val="none" w:sz="0" w:space="0" w:color="auto"/>
        <w:right w:val="none" w:sz="0" w:space="0" w:color="auto"/>
      </w:divBdr>
    </w:div>
    <w:div w:id="677543893">
      <w:bodyDiv w:val="1"/>
      <w:marLeft w:val="0"/>
      <w:marRight w:val="0"/>
      <w:marTop w:val="0"/>
      <w:marBottom w:val="0"/>
      <w:divBdr>
        <w:top w:val="none" w:sz="0" w:space="0" w:color="auto"/>
        <w:left w:val="none" w:sz="0" w:space="0" w:color="auto"/>
        <w:bottom w:val="none" w:sz="0" w:space="0" w:color="auto"/>
        <w:right w:val="none" w:sz="0" w:space="0" w:color="auto"/>
      </w:divBdr>
    </w:div>
    <w:div w:id="727992334">
      <w:bodyDiv w:val="1"/>
      <w:marLeft w:val="0"/>
      <w:marRight w:val="0"/>
      <w:marTop w:val="0"/>
      <w:marBottom w:val="0"/>
      <w:divBdr>
        <w:top w:val="none" w:sz="0" w:space="0" w:color="auto"/>
        <w:left w:val="none" w:sz="0" w:space="0" w:color="auto"/>
        <w:bottom w:val="none" w:sz="0" w:space="0" w:color="auto"/>
        <w:right w:val="none" w:sz="0" w:space="0" w:color="auto"/>
      </w:divBdr>
    </w:div>
    <w:div w:id="802236368">
      <w:bodyDiv w:val="1"/>
      <w:marLeft w:val="0"/>
      <w:marRight w:val="0"/>
      <w:marTop w:val="0"/>
      <w:marBottom w:val="0"/>
      <w:divBdr>
        <w:top w:val="none" w:sz="0" w:space="0" w:color="auto"/>
        <w:left w:val="none" w:sz="0" w:space="0" w:color="auto"/>
        <w:bottom w:val="none" w:sz="0" w:space="0" w:color="auto"/>
        <w:right w:val="none" w:sz="0" w:space="0" w:color="auto"/>
      </w:divBdr>
    </w:div>
    <w:div w:id="848717095">
      <w:bodyDiv w:val="1"/>
      <w:marLeft w:val="0"/>
      <w:marRight w:val="0"/>
      <w:marTop w:val="0"/>
      <w:marBottom w:val="0"/>
      <w:divBdr>
        <w:top w:val="none" w:sz="0" w:space="0" w:color="auto"/>
        <w:left w:val="none" w:sz="0" w:space="0" w:color="auto"/>
        <w:bottom w:val="none" w:sz="0" w:space="0" w:color="auto"/>
        <w:right w:val="none" w:sz="0" w:space="0" w:color="auto"/>
      </w:divBdr>
      <w:divsChild>
        <w:div w:id="1216164562">
          <w:marLeft w:val="0"/>
          <w:marRight w:val="0"/>
          <w:marTop w:val="0"/>
          <w:marBottom w:val="0"/>
          <w:divBdr>
            <w:top w:val="none" w:sz="0" w:space="0" w:color="auto"/>
            <w:left w:val="none" w:sz="0" w:space="0" w:color="auto"/>
            <w:bottom w:val="none" w:sz="0" w:space="0" w:color="auto"/>
            <w:right w:val="none" w:sz="0" w:space="0" w:color="auto"/>
          </w:divBdr>
          <w:divsChild>
            <w:div w:id="674310911">
              <w:marLeft w:val="0"/>
              <w:marRight w:val="0"/>
              <w:marTop w:val="0"/>
              <w:marBottom w:val="0"/>
              <w:divBdr>
                <w:top w:val="none" w:sz="0" w:space="0" w:color="auto"/>
                <w:left w:val="none" w:sz="0" w:space="0" w:color="auto"/>
                <w:bottom w:val="none" w:sz="0" w:space="0" w:color="auto"/>
                <w:right w:val="none" w:sz="0" w:space="0" w:color="auto"/>
              </w:divBdr>
            </w:div>
            <w:div w:id="913395422">
              <w:marLeft w:val="0"/>
              <w:marRight w:val="0"/>
              <w:marTop w:val="0"/>
              <w:marBottom w:val="0"/>
              <w:divBdr>
                <w:top w:val="none" w:sz="0" w:space="0" w:color="auto"/>
                <w:left w:val="none" w:sz="0" w:space="0" w:color="auto"/>
                <w:bottom w:val="none" w:sz="0" w:space="0" w:color="auto"/>
                <w:right w:val="none" w:sz="0" w:space="0" w:color="auto"/>
              </w:divBdr>
            </w:div>
            <w:div w:id="932587105">
              <w:marLeft w:val="0"/>
              <w:marRight w:val="0"/>
              <w:marTop w:val="0"/>
              <w:marBottom w:val="0"/>
              <w:divBdr>
                <w:top w:val="none" w:sz="0" w:space="0" w:color="auto"/>
                <w:left w:val="none" w:sz="0" w:space="0" w:color="auto"/>
                <w:bottom w:val="none" w:sz="0" w:space="0" w:color="auto"/>
                <w:right w:val="none" w:sz="0" w:space="0" w:color="auto"/>
              </w:divBdr>
            </w:div>
            <w:div w:id="1087117982">
              <w:marLeft w:val="0"/>
              <w:marRight w:val="0"/>
              <w:marTop w:val="0"/>
              <w:marBottom w:val="0"/>
              <w:divBdr>
                <w:top w:val="none" w:sz="0" w:space="0" w:color="auto"/>
                <w:left w:val="none" w:sz="0" w:space="0" w:color="auto"/>
                <w:bottom w:val="none" w:sz="0" w:space="0" w:color="auto"/>
                <w:right w:val="none" w:sz="0" w:space="0" w:color="auto"/>
              </w:divBdr>
            </w:div>
            <w:div w:id="1155222082">
              <w:marLeft w:val="0"/>
              <w:marRight w:val="0"/>
              <w:marTop w:val="0"/>
              <w:marBottom w:val="0"/>
              <w:divBdr>
                <w:top w:val="none" w:sz="0" w:space="0" w:color="auto"/>
                <w:left w:val="none" w:sz="0" w:space="0" w:color="auto"/>
                <w:bottom w:val="none" w:sz="0" w:space="0" w:color="auto"/>
                <w:right w:val="none" w:sz="0" w:space="0" w:color="auto"/>
              </w:divBdr>
            </w:div>
            <w:div w:id="1835023886">
              <w:marLeft w:val="0"/>
              <w:marRight w:val="0"/>
              <w:marTop w:val="0"/>
              <w:marBottom w:val="0"/>
              <w:divBdr>
                <w:top w:val="none" w:sz="0" w:space="0" w:color="auto"/>
                <w:left w:val="none" w:sz="0" w:space="0" w:color="auto"/>
                <w:bottom w:val="none" w:sz="0" w:space="0" w:color="auto"/>
                <w:right w:val="none" w:sz="0" w:space="0" w:color="auto"/>
              </w:divBdr>
            </w:div>
            <w:div w:id="1858083883">
              <w:marLeft w:val="0"/>
              <w:marRight w:val="0"/>
              <w:marTop w:val="0"/>
              <w:marBottom w:val="0"/>
              <w:divBdr>
                <w:top w:val="none" w:sz="0" w:space="0" w:color="auto"/>
                <w:left w:val="none" w:sz="0" w:space="0" w:color="auto"/>
                <w:bottom w:val="none" w:sz="0" w:space="0" w:color="auto"/>
                <w:right w:val="none" w:sz="0" w:space="0" w:color="auto"/>
              </w:divBdr>
            </w:div>
            <w:div w:id="1933857976">
              <w:marLeft w:val="0"/>
              <w:marRight w:val="0"/>
              <w:marTop w:val="0"/>
              <w:marBottom w:val="0"/>
              <w:divBdr>
                <w:top w:val="none" w:sz="0" w:space="0" w:color="auto"/>
                <w:left w:val="none" w:sz="0" w:space="0" w:color="auto"/>
                <w:bottom w:val="none" w:sz="0" w:space="0" w:color="auto"/>
                <w:right w:val="none" w:sz="0" w:space="0" w:color="auto"/>
              </w:divBdr>
            </w:div>
            <w:div w:id="1996835781">
              <w:marLeft w:val="0"/>
              <w:marRight w:val="0"/>
              <w:marTop w:val="0"/>
              <w:marBottom w:val="0"/>
              <w:divBdr>
                <w:top w:val="none" w:sz="0" w:space="0" w:color="auto"/>
                <w:left w:val="none" w:sz="0" w:space="0" w:color="auto"/>
                <w:bottom w:val="none" w:sz="0" w:space="0" w:color="auto"/>
                <w:right w:val="none" w:sz="0" w:space="0" w:color="auto"/>
              </w:divBdr>
            </w:div>
            <w:div w:id="21051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6371">
      <w:bodyDiv w:val="1"/>
      <w:marLeft w:val="0"/>
      <w:marRight w:val="0"/>
      <w:marTop w:val="0"/>
      <w:marBottom w:val="0"/>
      <w:divBdr>
        <w:top w:val="none" w:sz="0" w:space="0" w:color="auto"/>
        <w:left w:val="none" w:sz="0" w:space="0" w:color="auto"/>
        <w:bottom w:val="none" w:sz="0" w:space="0" w:color="auto"/>
        <w:right w:val="none" w:sz="0" w:space="0" w:color="auto"/>
      </w:divBdr>
    </w:div>
    <w:div w:id="983244045">
      <w:bodyDiv w:val="1"/>
      <w:marLeft w:val="0"/>
      <w:marRight w:val="0"/>
      <w:marTop w:val="0"/>
      <w:marBottom w:val="0"/>
      <w:divBdr>
        <w:top w:val="none" w:sz="0" w:space="0" w:color="auto"/>
        <w:left w:val="none" w:sz="0" w:space="0" w:color="auto"/>
        <w:bottom w:val="none" w:sz="0" w:space="0" w:color="auto"/>
        <w:right w:val="none" w:sz="0" w:space="0" w:color="auto"/>
      </w:divBdr>
    </w:div>
    <w:div w:id="1028868977">
      <w:bodyDiv w:val="1"/>
      <w:marLeft w:val="0"/>
      <w:marRight w:val="0"/>
      <w:marTop w:val="0"/>
      <w:marBottom w:val="0"/>
      <w:divBdr>
        <w:top w:val="none" w:sz="0" w:space="0" w:color="auto"/>
        <w:left w:val="none" w:sz="0" w:space="0" w:color="auto"/>
        <w:bottom w:val="none" w:sz="0" w:space="0" w:color="auto"/>
        <w:right w:val="none" w:sz="0" w:space="0" w:color="auto"/>
      </w:divBdr>
    </w:div>
    <w:div w:id="1039014801">
      <w:bodyDiv w:val="1"/>
      <w:marLeft w:val="0"/>
      <w:marRight w:val="0"/>
      <w:marTop w:val="0"/>
      <w:marBottom w:val="0"/>
      <w:divBdr>
        <w:top w:val="none" w:sz="0" w:space="0" w:color="auto"/>
        <w:left w:val="none" w:sz="0" w:space="0" w:color="auto"/>
        <w:bottom w:val="none" w:sz="0" w:space="0" w:color="auto"/>
        <w:right w:val="none" w:sz="0" w:space="0" w:color="auto"/>
      </w:divBdr>
    </w:div>
    <w:div w:id="1047610451">
      <w:bodyDiv w:val="1"/>
      <w:marLeft w:val="0"/>
      <w:marRight w:val="0"/>
      <w:marTop w:val="0"/>
      <w:marBottom w:val="0"/>
      <w:divBdr>
        <w:top w:val="none" w:sz="0" w:space="0" w:color="auto"/>
        <w:left w:val="none" w:sz="0" w:space="0" w:color="auto"/>
        <w:bottom w:val="none" w:sz="0" w:space="0" w:color="auto"/>
        <w:right w:val="none" w:sz="0" w:space="0" w:color="auto"/>
      </w:divBdr>
    </w:div>
    <w:div w:id="1087964994">
      <w:bodyDiv w:val="1"/>
      <w:marLeft w:val="0"/>
      <w:marRight w:val="0"/>
      <w:marTop w:val="0"/>
      <w:marBottom w:val="0"/>
      <w:divBdr>
        <w:top w:val="none" w:sz="0" w:space="0" w:color="auto"/>
        <w:left w:val="none" w:sz="0" w:space="0" w:color="auto"/>
        <w:bottom w:val="none" w:sz="0" w:space="0" w:color="auto"/>
        <w:right w:val="none" w:sz="0" w:space="0" w:color="auto"/>
      </w:divBdr>
      <w:divsChild>
        <w:div w:id="821501816">
          <w:marLeft w:val="0"/>
          <w:marRight w:val="0"/>
          <w:marTop w:val="0"/>
          <w:marBottom w:val="0"/>
          <w:divBdr>
            <w:top w:val="none" w:sz="0" w:space="0" w:color="auto"/>
            <w:left w:val="none" w:sz="0" w:space="0" w:color="auto"/>
            <w:bottom w:val="none" w:sz="0" w:space="0" w:color="auto"/>
            <w:right w:val="none" w:sz="0" w:space="0" w:color="auto"/>
          </w:divBdr>
          <w:divsChild>
            <w:div w:id="163055998">
              <w:marLeft w:val="0"/>
              <w:marRight w:val="0"/>
              <w:marTop w:val="0"/>
              <w:marBottom w:val="0"/>
              <w:divBdr>
                <w:top w:val="none" w:sz="0" w:space="0" w:color="auto"/>
                <w:left w:val="none" w:sz="0" w:space="0" w:color="auto"/>
                <w:bottom w:val="none" w:sz="0" w:space="0" w:color="auto"/>
                <w:right w:val="none" w:sz="0" w:space="0" w:color="auto"/>
              </w:divBdr>
            </w:div>
            <w:div w:id="415902161">
              <w:marLeft w:val="0"/>
              <w:marRight w:val="0"/>
              <w:marTop w:val="0"/>
              <w:marBottom w:val="0"/>
              <w:divBdr>
                <w:top w:val="none" w:sz="0" w:space="0" w:color="auto"/>
                <w:left w:val="none" w:sz="0" w:space="0" w:color="auto"/>
                <w:bottom w:val="none" w:sz="0" w:space="0" w:color="auto"/>
                <w:right w:val="none" w:sz="0" w:space="0" w:color="auto"/>
              </w:divBdr>
            </w:div>
            <w:div w:id="457795247">
              <w:marLeft w:val="0"/>
              <w:marRight w:val="0"/>
              <w:marTop w:val="0"/>
              <w:marBottom w:val="0"/>
              <w:divBdr>
                <w:top w:val="none" w:sz="0" w:space="0" w:color="auto"/>
                <w:left w:val="none" w:sz="0" w:space="0" w:color="auto"/>
                <w:bottom w:val="none" w:sz="0" w:space="0" w:color="auto"/>
                <w:right w:val="none" w:sz="0" w:space="0" w:color="auto"/>
              </w:divBdr>
            </w:div>
            <w:div w:id="851450485">
              <w:marLeft w:val="0"/>
              <w:marRight w:val="0"/>
              <w:marTop w:val="0"/>
              <w:marBottom w:val="0"/>
              <w:divBdr>
                <w:top w:val="none" w:sz="0" w:space="0" w:color="auto"/>
                <w:left w:val="none" w:sz="0" w:space="0" w:color="auto"/>
                <w:bottom w:val="none" w:sz="0" w:space="0" w:color="auto"/>
                <w:right w:val="none" w:sz="0" w:space="0" w:color="auto"/>
              </w:divBdr>
            </w:div>
            <w:div w:id="1420520634">
              <w:marLeft w:val="0"/>
              <w:marRight w:val="0"/>
              <w:marTop w:val="0"/>
              <w:marBottom w:val="0"/>
              <w:divBdr>
                <w:top w:val="none" w:sz="0" w:space="0" w:color="auto"/>
                <w:left w:val="none" w:sz="0" w:space="0" w:color="auto"/>
                <w:bottom w:val="none" w:sz="0" w:space="0" w:color="auto"/>
                <w:right w:val="none" w:sz="0" w:space="0" w:color="auto"/>
              </w:divBdr>
            </w:div>
            <w:div w:id="191700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03448">
      <w:bodyDiv w:val="1"/>
      <w:marLeft w:val="0"/>
      <w:marRight w:val="0"/>
      <w:marTop w:val="0"/>
      <w:marBottom w:val="0"/>
      <w:divBdr>
        <w:top w:val="none" w:sz="0" w:space="0" w:color="auto"/>
        <w:left w:val="none" w:sz="0" w:space="0" w:color="auto"/>
        <w:bottom w:val="none" w:sz="0" w:space="0" w:color="auto"/>
        <w:right w:val="none" w:sz="0" w:space="0" w:color="auto"/>
      </w:divBdr>
    </w:div>
    <w:div w:id="1335910460">
      <w:bodyDiv w:val="1"/>
      <w:marLeft w:val="0"/>
      <w:marRight w:val="0"/>
      <w:marTop w:val="0"/>
      <w:marBottom w:val="0"/>
      <w:divBdr>
        <w:top w:val="none" w:sz="0" w:space="0" w:color="auto"/>
        <w:left w:val="none" w:sz="0" w:space="0" w:color="auto"/>
        <w:bottom w:val="none" w:sz="0" w:space="0" w:color="auto"/>
        <w:right w:val="none" w:sz="0" w:space="0" w:color="auto"/>
      </w:divBdr>
      <w:divsChild>
        <w:div w:id="360208879">
          <w:marLeft w:val="0"/>
          <w:marRight w:val="0"/>
          <w:marTop w:val="0"/>
          <w:marBottom w:val="0"/>
          <w:divBdr>
            <w:top w:val="none" w:sz="0" w:space="0" w:color="auto"/>
            <w:left w:val="none" w:sz="0" w:space="0" w:color="auto"/>
            <w:bottom w:val="none" w:sz="0" w:space="0" w:color="auto"/>
            <w:right w:val="none" w:sz="0" w:space="0" w:color="auto"/>
          </w:divBdr>
          <w:divsChild>
            <w:div w:id="1427267066">
              <w:marLeft w:val="0"/>
              <w:marRight w:val="0"/>
              <w:marTop w:val="0"/>
              <w:marBottom w:val="0"/>
              <w:divBdr>
                <w:top w:val="none" w:sz="0" w:space="0" w:color="auto"/>
                <w:left w:val="none" w:sz="0" w:space="0" w:color="auto"/>
                <w:bottom w:val="none" w:sz="0" w:space="0" w:color="auto"/>
                <w:right w:val="none" w:sz="0" w:space="0" w:color="auto"/>
              </w:divBdr>
            </w:div>
            <w:div w:id="1669362045">
              <w:marLeft w:val="0"/>
              <w:marRight w:val="0"/>
              <w:marTop w:val="0"/>
              <w:marBottom w:val="0"/>
              <w:divBdr>
                <w:top w:val="none" w:sz="0" w:space="0" w:color="auto"/>
                <w:left w:val="none" w:sz="0" w:space="0" w:color="auto"/>
                <w:bottom w:val="none" w:sz="0" w:space="0" w:color="auto"/>
                <w:right w:val="none" w:sz="0" w:space="0" w:color="auto"/>
              </w:divBdr>
            </w:div>
            <w:div w:id="1802724245">
              <w:marLeft w:val="0"/>
              <w:marRight w:val="0"/>
              <w:marTop w:val="0"/>
              <w:marBottom w:val="0"/>
              <w:divBdr>
                <w:top w:val="none" w:sz="0" w:space="0" w:color="auto"/>
                <w:left w:val="none" w:sz="0" w:space="0" w:color="auto"/>
                <w:bottom w:val="none" w:sz="0" w:space="0" w:color="auto"/>
                <w:right w:val="none" w:sz="0" w:space="0" w:color="auto"/>
              </w:divBdr>
            </w:div>
            <w:div w:id="195428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66546">
      <w:bodyDiv w:val="1"/>
      <w:marLeft w:val="0"/>
      <w:marRight w:val="0"/>
      <w:marTop w:val="0"/>
      <w:marBottom w:val="0"/>
      <w:divBdr>
        <w:top w:val="none" w:sz="0" w:space="0" w:color="auto"/>
        <w:left w:val="none" w:sz="0" w:space="0" w:color="auto"/>
        <w:bottom w:val="none" w:sz="0" w:space="0" w:color="auto"/>
        <w:right w:val="none" w:sz="0" w:space="0" w:color="auto"/>
      </w:divBdr>
    </w:div>
    <w:div w:id="1421177969">
      <w:bodyDiv w:val="1"/>
      <w:marLeft w:val="0"/>
      <w:marRight w:val="0"/>
      <w:marTop w:val="0"/>
      <w:marBottom w:val="0"/>
      <w:divBdr>
        <w:top w:val="none" w:sz="0" w:space="0" w:color="auto"/>
        <w:left w:val="none" w:sz="0" w:space="0" w:color="auto"/>
        <w:bottom w:val="none" w:sz="0" w:space="0" w:color="auto"/>
        <w:right w:val="none" w:sz="0" w:space="0" w:color="auto"/>
      </w:divBdr>
      <w:divsChild>
        <w:div w:id="51076673">
          <w:marLeft w:val="0"/>
          <w:marRight w:val="0"/>
          <w:marTop w:val="0"/>
          <w:marBottom w:val="0"/>
          <w:divBdr>
            <w:top w:val="none" w:sz="0" w:space="0" w:color="auto"/>
            <w:left w:val="none" w:sz="0" w:space="0" w:color="auto"/>
            <w:bottom w:val="none" w:sz="0" w:space="0" w:color="auto"/>
            <w:right w:val="none" w:sz="0" w:space="0" w:color="auto"/>
          </w:divBdr>
        </w:div>
        <w:div w:id="106391573">
          <w:marLeft w:val="0"/>
          <w:marRight w:val="0"/>
          <w:marTop w:val="0"/>
          <w:marBottom w:val="0"/>
          <w:divBdr>
            <w:top w:val="none" w:sz="0" w:space="0" w:color="auto"/>
            <w:left w:val="none" w:sz="0" w:space="0" w:color="auto"/>
            <w:bottom w:val="none" w:sz="0" w:space="0" w:color="auto"/>
            <w:right w:val="none" w:sz="0" w:space="0" w:color="auto"/>
          </w:divBdr>
        </w:div>
        <w:div w:id="133909609">
          <w:marLeft w:val="0"/>
          <w:marRight w:val="0"/>
          <w:marTop w:val="0"/>
          <w:marBottom w:val="0"/>
          <w:divBdr>
            <w:top w:val="none" w:sz="0" w:space="0" w:color="auto"/>
            <w:left w:val="none" w:sz="0" w:space="0" w:color="auto"/>
            <w:bottom w:val="none" w:sz="0" w:space="0" w:color="auto"/>
            <w:right w:val="none" w:sz="0" w:space="0" w:color="auto"/>
          </w:divBdr>
        </w:div>
        <w:div w:id="170680391">
          <w:marLeft w:val="0"/>
          <w:marRight w:val="0"/>
          <w:marTop w:val="0"/>
          <w:marBottom w:val="0"/>
          <w:divBdr>
            <w:top w:val="none" w:sz="0" w:space="0" w:color="auto"/>
            <w:left w:val="none" w:sz="0" w:space="0" w:color="auto"/>
            <w:bottom w:val="none" w:sz="0" w:space="0" w:color="auto"/>
            <w:right w:val="none" w:sz="0" w:space="0" w:color="auto"/>
          </w:divBdr>
        </w:div>
        <w:div w:id="330790536">
          <w:marLeft w:val="0"/>
          <w:marRight w:val="0"/>
          <w:marTop w:val="0"/>
          <w:marBottom w:val="0"/>
          <w:divBdr>
            <w:top w:val="none" w:sz="0" w:space="0" w:color="auto"/>
            <w:left w:val="none" w:sz="0" w:space="0" w:color="auto"/>
            <w:bottom w:val="none" w:sz="0" w:space="0" w:color="auto"/>
            <w:right w:val="none" w:sz="0" w:space="0" w:color="auto"/>
          </w:divBdr>
        </w:div>
        <w:div w:id="441270956">
          <w:marLeft w:val="0"/>
          <w:marRight w:val="0"/>
          <w:marTop w:val="0"/>
          <w:marBottom w:val="0"/>
          <w:divBdr>
            <w:top w:val="none" w:sz="0" w:space="0" w:color="auto"/>
            <w:left w:val="none" w:sz="0" w:space="0" w:color="auto"/>
            <w:bottom w:val="none" w:sz="0" w:space="0" w:color="auto"/>
            <w:right w:val="none" w:sz="0" w:space="0" w:color="auto"/>
          </w:divBdr>
        </w:div>
        <w:div w:id="443115520">
          <w:marLeft w:val="0"/>
          <w:marRight w:val="0"/>
          <w:marTop w:val="0"/>
          <w:marBottom w:val="0"/>
          <w:divBdr>
            <w:top w:val="none" w:sz="0" w:space="0" w:color="auto"/>
            <w:left w:val="none" w:sz="0" w:space="0" w:color="auto"/>
            <w:bottom w:val="none" w:sz="0" w:space="0" w:color="auto"/>
            <w:right w:val="none" w:sz="0" w:space="0" w:color="auto"/>
          </w:divBdr>
        </w:div>
        <w:div w:id="459223694">
          <w:marLeft w:val="0"/>
          <w:marRight w:val="0"/>
          <w:marTop w:val="0"/>
          <w:marBottom w:val="0"/>
          <w:divBdr>
            <w:top w:val="none" w:sz="0" w:space="0" w:color="auto"/>
            <w:left w:val="none" w:sz="0" w:space="0" w:color="auto"/>
            <w:bottom w:val="none" w:sz="0" w:space="0" w:color="auto"/>
            <w:right w:val="none" w:sz="0" w:space="0" w:color="auto"/>
          </w:divBdr>
        </w:div>
        <w:div w:id="495270003">
          <w:marLeft w:val="0"/>
          <w:marRight w:val="0"/>
          <w:marTop w:val="0"/>
          <w:marBottom w:val="0"/>
          <w:divBdr>
            <w:top w:val="none" w:sz="0" w:space="0" w:color="auto"/>
            <w:left w:val="none" w:sz="0" w:space="0" w:color="auto"/>
            <w:bottom w:val="none" w:sz="0" w:space="0" w:color="auto"/>
            <w:right w:val="none" w:sz="0" w:space="0" w:color="auto"/>
          </w:divBdr>
        </w:div>
        <w:div w:id="499737099">
          <w:marLeft w:val="0"/>
          <w:marRight w:val="0"/>
          <w:marTop w:val="0"/>
          <w:marBottom w:val="0"/>
          <w:divBdr>
            <w:top w:val="none" w:sz="0" w:space="0" w:color="auto"/>
            <w:left w:val="none" w:sz="0" w:space="0" w:color="auto"/>
            <w:bottom w:val="none" w:sz="0" w:space="0" w:color="auto"/>
            <w:right w:val="none" w:sz="0" w:space="0" w:color="auto"/>
          </w:divBdr>
        </w:div>
        <w:div w:id="974411375">
          <w:marLeft w:val="0"/>
          <w:marRight w:val="0"/>
          <w:marTop w:val="0"/>
          <w:marBottom w:val="0"/>
          <w:divBdr>
            <w:top w:val="none" w:sz="0" w:space="0" w:color="auto"/>
            <w:left w:val="none" w:sz="0" w:space="0" w:color="auto"/>
            <w:bottom w:val="none" w:sz="0" w:space="0" w:color="auto"/>
            <w:right w:val="none" w:sz="0" w:space="0" w:color="auto"/>
          </w:divBdr>
        </w:div>
        <w:div w:id="1671325010">
          <w:marLeft w:val="0"/>
          <w:marRight w:val="0"/>
          <w:marTop w:val="0"/>
          <w:marBottom w:val="0"/>
          <w:divBdr>
            <w:top w:val="none" w:sz="0" w:space="0" w:color="auto"/>
            <w:left w:val="none" w:sz="0" w:space="0" w:color="auto"/>
            <w:bottom w:val="none" w:sz="0" w:space="0" w:color="auto"/>
            <w:right w:val="none" w:sz="0" w:space="0" w:color="auto"/>
          </w:divBdr>
        </w:div>
        <w:div w:id="1848791169">
          <w:marLeft w:val="0"/>
          <w:marRight w:val="0"/>
          <w:marTop w:val="0"/>
          <w:marBottom w:val="0"/>
          <w:divBdr>
            <w:top w:val="none" w:sz="0" w:space="0" w:color="auto"/>
            <w:left w:val="none" w:sz="0" w:space="0" w:color="auto"/>
            <w:bottom w:val="none" w:sz="0" w:space="0" w:color="auto"/>
            <w:right w:val="none" w:sz="0" w:space="0" w:color="auto"/>
          </w:divBdr>
        </w:div>
        <w:div w:id="1901941669">
          <w:marLeft w:val="0"/>
          <w:marRight w:val="0"/>
          <w:marTop w:val="0"/>
          <w:marBottom w:val="0"/>
          <w:divBdr>
            <w:top w:val="none" w:sz="0" w:space="0" w:color="auto"/>
            <w:left w:val="none" w:sz="0" w:space="0" w:color="auto"/>
            <w:bottom w:val="none" w:sz="0" w:space="0" w:color="auto"/>
            <w:right w:val="none" w:sz="0" w:space="0" w:color="auto"/>
          </w:divBdr>
        </w:div>
        <w:div w:id="1950432607">
          <w:marLeft w:val="0"/>
          <w:marRight w:val="0"/>
          <w:marTop w:val="0"/>
          <w:marBottom w:val="0"/>
          <w:divBdr>
            <w:top w:val="none" w:sz="0" w:space="0" w:color="auto"/>
            <w:left w:val="none" w:sz="0" w:space="0" w:color="auto"/>
            <w:bottom w:val="none" w:sz="0" w:space="0" w:color="auto"/>
            <w:right w:val="none" w:sz="0" w:space="0" w:color="auto"/>
          </w:divBdr>
        </w:div>
        <w:div w:id="2066828080">
          <w:marLeft w:val="0"/>
          <w:marRight w:val="0"/>
          <w:marTop w:val="0"/>
          <w:marBottom w:val="0"/>
          <w:divBdr>
            <w:top w:val="none" w:sz="0" w:space="0" w:color="auto"/>
            <w:left w:val="none" w:sz="0" w:space="0" w:color="auto"/>
            <w:bottom w:val="none" w:sz="0" w:space="0" w:color="auto"/>
            <w:right w:val="none" w:sz="0" w:space="0" w:color="auto"/>
          </w:divBdr>
        </w:div>
        <w:div w:id="2119325419">
          <w:marLeft w:val="0"/>
          <w:marRight w:val="0"/>
          <w:marTop w:val="0"/>
          <w:marBottom w:val="0"/>
          <w:divBdr>
            <w:top w:val="none" w:sz="0" w:space="0" w:color="auto"/>
            <w:left w:val="none" w:sz="0" w:space="0" w:color="auto"/>
            <w:bottom w:val="none" w:sz="0" w:space="0" w:color="auto"/>
            <w:right w:val="none" w:sz="0" w:space="0" w:color="auto"/>
          </w:divBdr>
        </w:div>
      </w:divsChild>
    </w:div>
    <w:div w:id="1421872527">
      <w:bodyDiv w:val="1"/>
      <w:marLeft w:val="0"/>
      <w:marRight w:val="0"/>
      <w:marTop w:val="0"/>
      <w:marBottom w:val="0"/>
      <w:divBdr>
        <w:top w:val="none" w:sz="0" w:space="0" w:color="auto"/>
        <w:left w:val="none" w:sz="0" w:space="0" w:color="auto"/>
        <w:bottom w:val="none" w:sz="0" w:space="0" w:color="auto"/>
        <w:right w:val="none" w:sz="0" w:space="0" w:color="auto"/>
      </w:divBdr>
    </w:div>
    <w:div w:id="1432822693">
      <w:bodyDiv w:val="1"/>
      <w:marLeft w:val="0"/>
      <w:marRight w:val="0"/>
      <w:marTop w:val="0"/>
      <w:marBottom w:val="0"/>
      <w:divBdr>
        <w:top w:val="none" w:sz="0" w:space="0" w:color="auto"/>
        <w:left w:val="none" w:sz="0" w:space="0" w:color="auto"/>
        <w:bottom w:val="none" w:sz="0" w:space="0" w:color="auto"/>
        <w:right w:val="none" w:sz="0" w:space="0" w:color="auto"/>
      </w:divBdr>
      <w:divsChild>
        <w:div w:id="7103941">
          <w:marLeft w:val="0"/>
          <w:marRight w:val="0"/>
          <w:marTop w:val="0"/>
          <w:marBottom w:val="0"/>
          <w:divBdr>
            <w:top w:val="none" w:sz="0" w:space="0" w:color="auto"/>
            <w:left w:val="none" w:sz="0" w:space="0" w:color="auto"/>
            <w:bottom w:val="none" w:sz="0" w:space="0" w:color="auto"/>
            <w:right w:val="none" w:sz="0" w:space="0" w:color="auto"/>
          </w:divBdr>
          <w:divsChild>
            <w:div w:id="858003746">
              <w:marLeft w:val="0"/>
              <w:marRight w:val="0"/>
              <w:marTop w:val="0"/>
              <w:marBottom w:val="0"/>
              <w:divBdr>
                <w:top w:val="none" w:sz="0" w:space="0" w:color="auto"/>
                <w:left w:val="none" w:sz="0" w:space="0" w:color="auto"/>
                <w:bottom w:val="none" w:sz="0" w:space="0" w:color="auto"/>
                <w:right w:val="none" w:sz="0" w:space="0" w:color="auto"/>
              </w:divBdr>
            </w:div>
            <w:div w:id="1012222824">
              <w:marLeft w:val="0"/>
              <w:marRight w:val="0"/>
              <w:marTop w:val="0"/>
              <w:marBottom w:val="0"/>
              <w:divBdr>
                <w:top w:val="none" w:sz="0" w:space="0" w:color="auto"/>
                <w:left w:val="none" w:sz="0" w:space="0" w:color="auto"/>
                <w:bottom w:val="none" w:sz="0" w:space="0" w:color="auto"/>
                <w:right w:val="none" w:sz="0" w:space="0" w:color="auto"/>
              </w:divBdr>
            </w:div>
            <w:div w:id="1038701129">
              <w:marLeft w:val="0"/>
              <w:marRight w:val="0"/>
              <w:marTop w:val="0"/>
              <w:marBottom w:val="0"/>
              <w:divBdr>
                <w:top w:val="none" w:sz="0" w:space="0" w:color="auto"/>
                <w:left w:val="none" w:sz="0" w:space="0" w:color="auto"/>
                <w:bottom w:val="none" w:sz="0" w:space="0" w:color="auto"/>
                <w:right w:val="none" w:sz="0" w:space="0" w:color="auto"/>
              </w:divBdr>
            </w:div>
            <w:div w:id="1195731086">
              <w:marLeft w:val="0"/>
              <w:marRight w:val="0"/>
              <w:marTop w:val="0"/>
              <w:marBottom w:val="0"/>
              <w:divBdr>
                <w:top w:val="none" w:sz="0" w:space="0" w:color="auto"/>
                <w:left w:val="none" w:sz="0" w:space="0" w:color="auto"/>
                <w:bottom w:val="none" w:sz="0" w:space="0" w:color="auto"/>
                <w:right w:val="none" w:sz="0" w:space="0" w:color="auto"/>
              </w:divBdr>
            </w:div>
            <w:div w:id="1226260783">
              <w:marLeft w:val="0"/>
              <w:marRight w:val="0"/>
              <w:marTop w:val="0"/>
              <w:marBottom w:val="0"/>
              <w:divBdr>
                <w:top w:val="none" w:sz="0" w:space="0" w:color="auto"/>
                <w:left w:val="none" w:sz="0" w:space="0" w:color="auto"/>
                <w:bottom w:val="none" w:sz="0" w:space="0" w:color="auto"/>
                <w:right w:val="none" w:sz="0" w:space="0" w:color="auto"/>
              </w:divBdr>
            </w:div>
            <w:div w:id="1323434936">
              <w:marLeft w:val="0"/>
              <w:marRight w:val="0"/>
              <w:marTop w:val="0"/>
              <w:marBottom w:val="0"/>
              <w:divBdr>
                <w:top w:val="none" w:sz="0" w:space="0" w:color="auto"/>
                <w:left w:val="none" w:sz="0" w:space="0" w:color="auto"/>
                <w:bottom w:val="none" w:sz="0" w:space="0" w:color="auto"/>
                <w:right w:val="none" w:sz="0" w:space="0" w:color="auto"/>
              </w:divBdr>
            </w:div>
            <w:div w:id="1406106008">
              <w:marLeft w:val="0"/>
              <w:marRight w:val="0"/>
              <w:marTop w:val="0"/>
              <w:marBottom w:val="0"/>
              <w:divBdr>
                <w:top w:val="none" w:sz="0" w:space="0" w:color="auto"/>
                <w:left w:val="none" w:sz="0" w:space="0" w:color="auto"/>
                <w:bottom w:val="none" w:sz="0" w:space="0" w:color="auto"/>
                <w:right w:val="none" w:sz="0" w:space="0" w:color="auto"/>
              </w:divBdr>
            </w:div>
            <w:div w:id="1443498244">
              <w:marLeft w:val="0"/>
              <w:marRight w:val="0"/>
              <w:marTop w:val="0"/>
              <w:marBottom w:val="0"/>
              <w:divBdr>
                <w:top w:val="none" w:sz="0" w:space="0" w:color="auto"/>
                <w:left w:val="none" w:sz="0" w:space="0" w:color="auto"/>
                <w:bottom w:val="none" w:sz="0" w:space="0" w:color="auto"/>
                <w:right w:val="none" w:sz="0" w:space="0" w:color="auto"/>
              </w:divBdr>
            </w:div>
            <w:div w:id="1614627316">
              <w:marLeft w:val="0"/>
              <w:marRight w:val="0"/>
              <w:marTop w:val="0"/>
              <w:marBottom w:val="0"/>
              <w:divBdr>
                <w:top w:val="none" w:sz="0" w:space="0" w:color="auto"/>
                <w:left w:val="none" w:sz="0" w:space="0" w:color="auto"/>
                <w:bottom w:val="none" w:sz="0" w:space="0" w:color="auto"/>
                <w:right w:val="none" w:sz="0" w:space="0" w:color="auto"/>
              </w:divBdr>
            </w:div>
            <w:div w:id="1772897110">
              <w:marLeft w:val="0"/>
              <w:marRight w:val="0"/>
              <w:marTop w:val="0"/>
              <w:marBottom w:val="0"/>
              <w:divBdr>
                <w:top w:val="none" w:sz="0" w:space="0" w:color="auto"/>
                <w:left w:val="none" w:sz="0" w:space="0" w:color="auto"/>
                <w:bottom w:val="none" w:sz="0" w:space="0" w:color="auto"/>
                <w:right w:val="none" w:sz="0" w:space="0" w:color="auto"/>
              </w:divBdr>
            </w:div>
            <w:div w:id="185087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9285">
      <w:bodyDiv w:val="1"/>
      <w:marLeft w:val="0"/>
      <w:marRight w:val="0"/>
      <w:marTop w:val="0"/>
      <w:marBottom w:val="0"/>
      <w:divBdr>
        <w:top w:val="none" w:sz="0" w:space="0" w:color="auto"/>
        <w:left w:val="none" w:sz="0" w:space="0" w:color="auto"/>
        <w:bottom w:val="none" w:sz="0" w:space="0" w:color="auto"/>
        <w:right w:val="none" w:sz="0" w:space="0" w:color="auto"/>
      </w:divBdr>
    </w:div>
    <w:div w:id="1560479399">
      <w:bodyDiv w:val="1"/>
      <w:marLeft w:val="0"/>
      <w:marRight w:val="0"/>
      <w:marTop w:val="0"/>
      <w:marBottom w:val="0"/>
      <w:divBdr>
        <w:top w:val="none" w:sz="0" w:space="0" w:color="auto"/>
        <w:left w:val="none" w:sz="0" w:space="0" w:color="auto"/>
        <w:bottom w:val="none" w:sz="0" w:space="0" w:color="auto"/>
        <w:right w:val="none" w:sz="0" w:space="0" w:color="auto"/>
      </w:divBdr>
    </w:div>
    <w:div w:id="1664969552">
      <w:bodyDiv w:val="1"/>
      <w:marLeft w:val="0"/>
      <w:marRight w:val="0"/>
      <w:marTop w:val="0"/>
      <w:marBottom w:val="0"/>
      <w:divBdr>
        <w:top w:val="none" w:sz="0" w:space="0" w:color="auto"/>
        <w:left w:val="none" w:sz="0" w:space="0" w:color="auto"/>
        <w:bottom w:val="none" w:sz="0" w:space="0" w:color="auto"/>
        <w:right w:val="none" w:sz="0" w:space="0" w:color="auto"/>
      </w:divBdr>
      <w:divsChild>
        <w:div w:id="1473906190">
          <w:marLeft w:val="0"/>
          <w:marRight w:val="0"/>
          <w:marTop w:val="0"/>
          <w:marBottom w:val="0"/>
          <w:divBdr>
            <w:top w:val="none" w:sz="0" w:space="0" w:color="auto"/>
            <w:left w:val="none" w:sz="0" w:space="0" w:color="auto"/>
            <w:bottom w:val="none" w:sz="0" w:space="0" w:color="auto"/>
            <w:right w:val="none" w:sz="0" w:space="0" w:color="auto"/>
          </w:divBdr>
          <w:divsChild>
            <w:div w:id="416295835">
              <w:marLeft w:val="0"/>
              <w:marRight w:val="0"/>
              <w:marTop w:val="0"/>
              <w:marBottom w:val="0"/>
              <w:divBdr>
                <w:top w:val="none" w:sz="0" w:space="0" w:color="auto"/>
                <w:left w:val="none" w:sz="0" w:space="0" w:color="auto"/>
                <w:bottom w:val="none" w:sz="0" w:space="0" w:color="auto"/>
                <w:right w:val="none" w:sz="0" w:space="0" w:color="auto"/>
              </w:divBdr>
            </w:div>
            <w:div w:id="588587012">
              <w:marLeft w:val="0"/>
              <w:marRight w:val="0"/>
              <w:marTop w:val="0"/>
              <w:marBottom w:val="0"/>
              <w:divBdr>
                <w:top w:val="none" w:sz="0" w:space="0" w:color="auto"/>
                <w:left w:val="none" w:sz="0" w:space="0" w:color="auto"/>
                <w:bottom w:val="none" w:sz="0" w:space="0" w:color="auto"/>
                <w:right w:val="none" w:sz="0" w:space="0" w:color="auto"/>
              </w:divBdr>
            </w:div>
            <w:div w:id="1085998110">
              <w:marLeft w:val="0"/>
              <w:marRight w:val="0"/>
              <w:marTop w:val="0"/>
              <w:marBottom w:val="0"/>
              <w:divBdr>
                <w:top w:val="none" w:sz="0" w:space="0" w:color="auto"/>
                <w:left w:val="none" w:sz="0" w:space="0" w:color="auto"/>
                <w:bottom w:val="none" w:sz="0" w:space="0" w:color="auto"/>
                <w:right w:val="none" w:sz="0" w:space="0" w:color="auto"/>
              </w:divBdr>
            </w:div>
            <w:div w:id="1204370091">
              <w:marLeft w:val="0"/>
              <w:marRight w:val="0"/>
              <w:marTop w:val="0"/>
              <w:marBottom w:val="0"/>
              <w:divBdr>
                <w:top w:val="none" w:sz="0" w:space="0" w:color="auto"/>
                <w:left w:val="none" w:sz="0" w:space="0" w:color="auto"/>
                <w:bottom w:val="none" w:sz="0" w:space="0" w:color="auto"/>
                <w:right w:val="none" w:sz="0" w:space="0" w:color="auto"/>
              </w:divBdr>
            </w:div>
            <w:div w:id="1899898598">
              <w:marLeft w:val="0"/>
              <w:marRight w:val="0"/>
              <w:marTop w:val="0"/>
              <w:marBottom w:val="0"/>
              <w:divBdr>
                <w:top w:val="none" w:sz="0" w:space="0" w:color="auto"/>
                <w:left w:val="none" w:sz="0" w:space="0" w:color="auto"/>
                <w:bottom w:val="none" w:sz="0" w:space="0" w:color="auto"/>
                <w:right w:val="none" w:sz="0" w:space="0" w:color="auto"/>
              </w:divBdr>
            </w:div>
            <w:div w:id="2109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20860">
      <w:bodyDiv w:val="1"/>
      <w:marLeft w:val="0"/>
      <w:marRight w:val="0"/>
      <w:marTop w:val="0"/>
      <w:marBottom w:val="0"/>
      <w:divBdr>
        <w:top w:val="none" w:sz="0" w:space="0" w:color="auto"/>
        <w:left w:val="none" w:sz="0" w:space="0" w:color="auto"/>
        <w:bottom w:val="none" w:sz="0" w:space="0" w:color="auto"/>
        <w:right w:val="none" w:sz="0" w:space="0" w:color="auto"/>
      </w:divBdr>
    </w:div>
    <w:div w:id="1747680773">
      <w:bodyDiv w:val="1"/>
      <w:marLeft w:val="0"/>
      <w:marRight w:val="0"/>
      <w:marTop w:val="0"/>
      <w:marBottom w:val="0"/>
      <w:divBdr>
        <w:top w:val="none" w:sz="0" w:space="0" w:color="auto"/>
        <w:left w:val="none" w:sz="0" w:space="0" w:color="auto"/>
        <w:bottom w:val="none" w:sz="0" w:space="0" w:color="auto"/>
        <w:right w:val="none" w:sz="0" w:space="0" w:color="auto"/>
      </w:divBdr>
    </w:div>
    <w:div w:id="1761220145">
      <w:bodyDiv w:val="1"/>
      <w:marLeft w:val="0"/>
      <w:marRight w:val="0"/>
      <w:marTop w:val="0"/>
      <w:marBottom w:val="0"/>
      <w:divBdr>
        <w:top w:val="none" w:sz="0" w:space="0" w:color="auto"/>
        <w:left w:val="none" w:sz="0" w:space="0" w:color="auto"/>
        <w:bottom w:val="none" w:sz="0" w:space="0" w:color="auto"/>
        <w:right w:val="none" w:sz="0" w:space="0" w:color="auto"/>
      </w:divBdr>
    </w:div>
    <w:div w:id="1766072568">
      <w:bodyDiv w:val="1"/>
      <w:marLeft w:val="0"/>
      <w:marRight w:val="0"/>
      <w:marTop w:val="0"/>
      <w:marBottom w:val="0"/>
      <w:divBdr>
        <w:top w:val="none" w:sz="0" w:space="0" w:color="auto"/>
        <w:left w:val="none" w:sz="0" w:space="0" w:color="auto"/>
        <w:bottom w:val="none" w:sz="0" w:space="0" w:color="auto"/>
        <w:right w:val="none" w:sz="0" w:space="0" w:color="auto"/>
      </w:divBdr>
      <w:divsChild>
        <w:div w:id="1517693200">
          <w:marLeft w:val="0"/>
          <w:marRight w:val="0"/>
          <w:marTop w:val="0"/>
          <w:marBottom w:val="0"/>
          <w:divBdr>
            <w:top w:val="none" w:sz="0" w:space="0" w:color="auto"/>
            <w:left w:val="none" w:sz="0" w:space="0" w:color="auto"/>
            <w:bottom w:val="none" w:sz="0" w:space="0" w:color="auto"/>
            <w:right w:val="none" w:sz="0" w:space="0" w:color="auto"/>
          </w:divBdr>
          <w:divsChild>
            <w:div w:id="10830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334428">
      <w:bodyDiv w:val="1"/>
      <w:marLeft w:val="0"/>
      <w:marRight w:val="0"/>
      <w:marTop w:val="0"/>
      <w:marBottom w:val="0"/>
      <w:divBdr>
        <w:top w:val="none" w:sz="0" w:space="0" w:color="auto"/>
        <w:left w:val="none" w:sz="0" w:space="0" w:color="auto"/>
        <w:bottom w:val="none" w:sz="0" w:space="0" w:color="auto"/>
        <w:right w:val="none" w:sz="0" w:space="0" w:color="auto"/>
      </w:divBdr>
    </w:div>
    <w:div w:id="1810827407">
      <w:bodyDiv w:val="1"/>
      <w:marLeft w:val="0"/>
      <w:marRight w:val="0"/>
      <w:marTop w:val="0"/>
      <w:marBottom w:val="0"/>
      <w:divBdr>
        <w:top w:val="none" w:sz="0" w:space="0" w:color="auto"/>
        <w:left w:val="none" w:sz="0" w:space="0" w:color="auto"/>
        <w:bottom w:val="none" w:sz="0" w:space="0" w:color="auto"/>
        <w:right w:val="none" w:sz="0" w:space="0" w:color="auto"/>
      </w:divBdr>
    </w:div>
    <w:div w:id="1815757025">
      <w:bodyDiv w:val="1"/>
      <w:marLeft w:val="0"/>
      <w:marRight w:val="0"/>
      <w:marTop w:val="0"/>
      <w:marBottom w:val="0"/>
      <w:divBdr>
        <w:top w:val="none" w:sz="0" w:space="0" w:color="auto"/>
        <w:left w:val="none" w:sz="0" w:space="0" w:color="auto"/>
        <w:bottom w:val="none" w:sz="0" w:space="0" w:color="auto"/>
        <w:right w:val="none" w:sz="0" w:space="0" w:color="auto"/>
      </w:divBdr>
    </w:div>
    <w:div w:id="1929463197">
      <w:bodyDiv w:val="1"/>
      <w:marLeft w:val="0"/>
      <w:marRight w:val="0"/>
      <w:marTop w:val="0"/>
      <w:marBottom w:val="0"/>
      <w:divBdr>
        <w:top w:val="none" w:sz="0" w:space="0" w:color="auto"/>
        <w:left w:val="none" w:sz="0" w:space="0" w:color="auto"/>
        <w:bottom w:val="none" w:sz="0" w:space="0" w:color="auto"/>
        <w:right w:val="none" w:sz="0" w:space="0" w:color="auto"/>
      </w:divBdr>
    </w:div>
    <w:div w:id="196091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3.emf"/><Relationship Id="rId10" Type="http://schemas.openxmlformats.org/officeDocument/2006/relationships/customXml" Target="../customXml/item10.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BE24C-6596-42A9-B910-ABC70D1D2449}">
  <ds:schemaRefs>
    <ds:schemaRef ds:uri="http://schemas.openxmlformats.org/officeDocument/2006/bibliography"/>
  </ds:schemaRefs>
</ds:datastoreItem>
</file>

<file path=customXml/itemProps10.xml><?xml version="1.0" encoding="utf-8"?>
<ds:datastoreItem xmlns:ds="http://schemas.openxmlformats.org/officeDocument/2006/customXml" ds:itemID="{8982AA35-EE71-4F62-AC67-1C7782EDD251}">
  <ds:schemaRefs>
    <ds:schemaRef ds:uri="http://schemas.openxmlformats.org/officeDocument/2006/bibliography"/>
  </ds:schemaRefs>
</ds:datastoreItem>
</file>

<file path=customXml/itemProps11.xml><?xml version="1.0" encoding="utf-8"?>
<ds:datastoreItem xmlns:ds="http://schemas.openxmlformats.org/officeDocument/2006/customXml" ds:itemID="{EF5D94B1-3A60-4E67-B2A8-DC0D3E6BE9ED}">
  <ds:schemaRefs>
    <ds:schemaRef ds:uri="http://schemas.openxmlformats.org/officeDocument/2006/bibliography"/>
  </ds:schemaRefs>
</ds:datastoreItem>
</file>

<file path=customXml/itemProps12.xml><?xml version="1.0" encoding="utf-8"?>
<ds:datastoreItem xmlns:ds="http://schemas.openxmlformats.org/officeDocument/2006/customXml" ds:itemID="{80D72E2F-65FF-42C3-A047-2767D93F89B3}">
  <ds:schemaRefs>
    <ds:schemaRef ds:uri="http://schemas.openxmlformats.org/officeDocument/2006/bibliography"/>
  </ds:schemaRefs>
</ds:datastoreItem>
</file>

<file path=customXml/itemProps2.xml><?xml version="1.0" encoding="utf-8"?>
<ds:datastoreItem xmlns:ds="http://schemas.openxmlformats.org/officeDocument/2006/customXml" ds:itemID="{F0055B9B-D7B7-4DD0-A225-1420DE2507DF}">
  <ds:schemaRefs>
    <ds:schemaRef ds:uri="http://schemas.openxmlformats.org/officeDocument/2006/bibliography"/>
  </ds:schemaRefs>
</ds:datastoreItem>
</file>

<file path=customXml/itemProps3.xml><?xml version="1.0" encoding="utf-8"?>
<ds:datastoreItem xmlns:ds="http://schemas.openxmlformats.org/officeDocument/2006/customXml" ds:itemID="{542F8806-3E2E-411B-AEE5-2DE19ABA849A}">
  <ds:schemaRefs>
    <ds:schemaRef ds:uri="http://schemas.openxmlformats.org/officeDocument/2006/bibliography"/>
  </ds:schemaRefs>
</ds:datastoreItem>
</file>

<file path=customXml/itemProps4.xml><?xml version="1.0" encoding="utf-8"?>
<ds:datastoreItem xmlns:ds="http://schemas.openxmlformats.org/officeDocument/2006/customXml" ds:itemID="{0B2CFBEB-17F2-469E-8743-EB4474FDA5EA}">
  <ds:schemaRefs>
    <ds:schemaRef ds:uri="http://schemas.openxmlformats.org/officeDocument/2006/bibliography"/>
  </ds:schemaRefs>
</ds:datastoreItem>
</file>

<file path=customXml/itemProps5.xml><?xml version="1.0" encoding="utf-8"?>
<ds:datastoreItem xmlns:ds="http://schemas.openxmlformats.org/officeDocument/2006/customXml" ds:itemID="{48328FE2-228A-4E34-90D2-E03DDDABE882}">
  <ds:schemaRefs>
    <ds:schemaRef ds:uri="http://schemas.openxmlformats.org/officeDocument/2006/bibliography"/>
  </ds:schemaRefs>
</ds:datastoreItem>
</file>

<file path=customXml/itemProps6.xml><?xml version="1.0" encoding="utf-8"?>
<ds:datastoreItem xmlns:ds="http://schemas.openxmlformats.org/officeDocument/2006/customXml" ds:itemID="{56F8E605-DC73-411F-B118-7D721DAB1645}">
  <ds:schemaRefs>
    <ds:schemaRef ds:uri="http://schemas.openxmlformats.org/officeDocument/2006/bibliography"/>
  </ds:schemaRefs>
</ds:datastoreItem>
</file>

<file path=customXml/itemProps7.xml><?xml version="1.0" encoding="utf-8"?>
<ds:datastoreItem xmlns:ds="http://schemas.openxmlformats.org/officeDocument/2006/customXml" ds:itemID="{279A7655-D1EF-4504-94B6-D0A648D2C18B}">
  <ds:schemaRefs>
    <ds:schemaRef ds:uri="http://schemas.openxmlformats.org/officeDocument/2006/bibliography"/>
  </ds:schemaRefs>
</ds:datastoreItem>
</file>

<file path=customXml/itemProps8.xml><?xml version="1.0" encoding="utf-8"?>
<ds:datastoreItem xmlns:ds="http://schemas.openxmlformats.org/officeDocument/2006/customXml" ds:itemID="{C614060C-1AE2-41F2-A0E3-58F95D8A145A}">
  <ds:schemaRefs>
    <ds:schemaRef ds:uri="http://schemas.openxmlformats.org/officeDocument/2006/bibliography"/>
  </ds:schemaRefs>
</ds:datastoreItem>
</file>

<file path=customXml/itemProps9.xml><?xml version="1.0" encoding="utf-8"?>
<ds:datastoreItem xmlns:ds="http://schemas.openxmlformats.org/officeDocument/2006/customXml" ds:itemID="{764AEC4D-5EA2-4BE7-AF8B-ECCE5F856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Home NodeB</vt:lpstr>
    </vt:vector>
  </TitlesOfParts>
  <Company>CMCC</Company>
  <LinksUpToDate>false</LinksUpToDate>
  <CharactersWithSpaces>9054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NodeB</dc:title>
  <dc:subject/>
  <dc:creator>Li Nan</dc:creator>
  <cp:keywords/>
  <cp:lastModifiedBy>Rajat Prakash</cp:lastModifiedBy>
  <cp:revision>29</cp:revision>
  <cp:lastPrinted>2011-02-10T00:36:00Z</cp:lastPrinted>
  <dcterms:created xsi:type="dcterms:W3CDTF">2011-02-10T17:56:00Z</dcterms:created>
  <dcterms:modified xsi:type="dcterms:W3CDTF">2011-02-15T05:52:00Z</dcterms:modified>
</cp:coreProperties>
</file>